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2B42" w14:textId="77777777" w:rsidR="00257912" w:rsidRPr="00903718" w:rsidRDefault="00257912" w:rsidP="00903718">
      <w:pPr>
        <w:pStyle w:val="Heading3"/>
        <w:tabs>
          <w:tab w:val="left" w:pos="1985"/>
        </w:tabs>
        <w:spacing w:after="0" w:line="240" w:lineRule="auto"/>
        <w:ind w:left="0" w:hanging="15"/>
        <w:rPr>
          <w:rFonts w:ascii="Arial" w:hAnsi="Arial" w:cs="Arial"/>
          <w:sz w:val="24"/>
          <w:szCs w:val="24"/>
        </w:rPr>
      </w:pPr>
      <w:r w:rsidRPr="00903718">
        <w:rPr>
          <w:rFonts w:ascii="Arial" w:eastAsia="Arial" w:hAnsi="Arial" w:cs="Arial"/>
          <w:sz w:val="24"/>
          <w:szCs w:val="24"/>
        </w:rPr>
        <w:t>A</w:t>
      </w:r>
      <w:r w:rsidR="00903718" w:rsidRPr="00903718">
        <w:rPr>
          <w:rFonts w:ascii="Arial" w:eastAsia="Arial" w:hAnsi="Arial" w:cs="Arial"/>
          <w:sz w:val="24"/>
          <w:szCs w:val="24"/>
        </w:rPr>
        <w:t>ppendix</w:t>
      </w:r>
      <w:r w:rsidRPr="00903718">
        <w:rPr>
          <w:rFonts w:ascii="Arial" w:eastAsia="Arial" w:hAnsi="Arial" w:cs="Arial"/>
          <w:sz w:val="24"/>
          <w:szCs w:val="24"/>
        </w:rPr>
        <w:t xml:space="preserve"> A </w:t>
      </w:r>
      <w:r w:rsidRPr="00903718">
        <w:rPr>
          <w:rFonts w:ascii="Arial" w:eastAsia="Arial" w:hAnsi="Arial" w:cs="Arial"/>
          <w:sz w:val="24"/>
          <w:szCs w:val="24"/>
        </w:rPr>
        <w:tab/>
        <w:t xml:space="preserve">TNM </w:t>
      </w:r>
      <w:r w:rsidR="00903718" w:rsidRPr="00903718">
        <w:rPr>
          <w:rFonts w:ascii="Arial" w:eastAsia="Arial" w:hAnsi="Arial" w:cs="Arial"/>
          <w:sz w:val="24"/>
          <w:szCs w:val="24"/>
        </w:rPr>
        <w:t>classification of conjunctiva melanoma</w:t>
      </w:r>
      <w:r w:rsidR="002837B0">
        <w:rPr>
          <w:rFonts w:ascii="Arial" w:eastAsia="Arial" w:hAnsi="Arial" w:cs="Arial"/>
          <w:sz w:val="24"/>
          <w:szCs w:val="24"/>
        </w:rPr>
        <w:t>s</w:t>
      </w:r>
      <w:r w:rsidR="00903718" w:rsidRPr="00903718">
        <w:rPr>
          <w:rFonts w:ascii="Arial" w:eastAsia="Arial" w:hAnsi="Arial" w:cs="Arial"/>
          <w:sz w:val="24"/>
          <w:szCs w:val="24"/>
        </w:rPr>
        <w:t xml:space="preserve"> and melanosis</w:t>
      </w:r>
      <w:r w:rsidR="00903718" w:rsidRPr="00903718">
        <w:rPr>
          <w:rFonts w:ascii="Arial" w:eastAsia="Arial" w:hAnsi="Arial" w:cs="Arial"/>
          <w:sz w:val="24"/>
          <w:szCs w:val="24"/>
        </w:rPr>
        <w:tab/>
      </w:r>
      <w:r w:rsidRPr="00903718">
        <w:rPr>
          <w:rFonts w:ascii="Arial" w:eastAsia="Arial" w:hAnsi="Arial" w:cs="Arial"/>
          <w:sz w:val="24"/>
          <w:szCs w:val="24"/>
        </w:rPr>
        <w:t>(UICC</w:t>
      </w:r>
      <w:r w:rsidR="005972A0">
        <w:rPr>
          <w:rFonts w:ascii="Arial" w:eastAsia="Arial" w:hAnsi="Arial" w:cs="Arial"/>
          <w:sz w:val="24"/>
          <w:szCs w:val="24"/>
        </w:rPr>
        <w:t xml:space="preserve"> </w:t>
      </w:r>
      <w:r w:rsidRPr="00903718">
        <w:rPr>
          <w:rFonts w:ascii="Arial" w:eastAsia="Arial" w:hAnsi="Arial" w:cs="Arial"/>
          <w:sz w:val="24"/>
          <w:szCs w:val="24"/>
        </w:rPr>
        <w:t xml:space="preserve">TNM 8) </w:t>
      </w:r>
    </w:p>
    <w:p w14:paraId="01B25075" w14:textId="77777777" w:rsidR="00257912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30C544F0" w14:textId="77777777" w:rsidR="00903718" w:rsidRPr="00903718" w:rsidRDefault="00903718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1AF27A04" w14:textId="77777777" w:rsidR="00257912" w:rsidRPr="00903718" w:rsidRDefault="00257912" w:rsidP="00903718">
      <w:pPr>
        <w:tabs>
          <w:tab w:val="left" w:pos="1701"/>
        </w:tabs>
        <w:spacing w:after="0" w:line="240" w:lineRule="auto"/>
        <w:rPr>
          <w:rFonts w:ascii="Arial" w:eastAsia="Calibri" w:hAnsi="Arial" w:cs="Arial"/>
          <w:sz w:val="22"/>
        </w:rPr>
      </w:pPr>
      <w:r w:rsidRPr="00903718">
        <w:rPr>
          <w:rFonts w:ascii="Arial" w:eastAsia="Calibri" w:hAnsi="Arial" w:cs="Arial"/>
          <w:sz w:val="22"/>
        </w:rPr>
        <w:t>This update to Appendix A provide</w:t>
      </w:r>
      <w:r w:rsidR="005972A0">
        <w:rPr>
          <w:rFonts w:ascii="Arial" w:eastAsia="Calibri" w:hAnsi="Arial" w:cs="Arial"/>
          <w:sz w:val="22"/>
        </w:rPr>
        <w:t>s</w:t>
      </w:r>
      <w:r w:rsidRPr="00903718">
        <w:rPr>
          <w:rFonts w:ascii="Arial" w:eastAsia="Calibri" w:hAnsi="Arial" w:cs="Arial"/>
          <w:sz w:val="22"/>
        </w:rPr>
        <w:t xml:space="preserve"> updated information on staging using UICC TNM 8</w:t>
      </w:r>
      <w:r w:rsidR="002837B0">
        <w:rPr>
          <w:rFonts w:ascii="Arial" w:eastAsia="Calibri" w:hAnsi="Arial" w:cs="Arial"/>
          <w:sz w:val="22"/>
        </w:rPr>
        <w:t>,</w:t>
      </w:r>
      <w:r w:rsidRPr="00903718">
        <w:rPr>
          <w:rFonts w:ascii="Arial" w:eastAsia="Calibri" w:hAnsi="Arial" w:cs="Arial"/>
          <w:sz w:val="22"/>
        </w:rPr>
        <w:t xml:space="preserve"> which should be used for al</w:t>
      </w:r>
      <w:r w:rsidR="002837B0">
        <w:rPr>
          <w:rFonts w:ascii="Arial" w:eastAsia="Calibri" w:hAnsi="Arial" w:cs="Arial"/>
          <w:sz w:val="22"/>
        </w:rPr>
        <w:t xml:space="preserve">l tumours diagnosed after 1 January </w:t>
      </w:r>
      <w:r w:rsidRPr="00903718">
        <w:rPr>
          <w:rFonts w:ascii="Arial" w:eastAsia="Calibri" w:hAnsi="Arial" w:cs="Arial"/>
          <w:sz w:val="22"/>
        </w:rPr>
        <w:t xml:space="preserve">2018.  </w:t>
      </w:r>
    </w:p>
    <w:p w14:paraId="633FB93A" w14:textId="77777777" w:rsidR="00257912" w:rsidRPr="00903718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1EB1D4BE" w14:textId="77777777" w:rsidR="00257912" w:rsidRPr="00903718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273B3B5E" w14:textId="77777777" w:rsidR="00257912" w:rsidRPr="00903718" w:rsidRDefault="00257912" w:rsidP="00903718">
      <w:pPr>
        <w:pStyle w:val="Heading4"/>
        <w:spacing w:after="0" w:line="240" w:lineRule="auto"/>
        <w:ind w:left="10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Primary tumour (pT)  </w:t>
      </w:r>
    </w:p>
    <w:p w14:paraId="26613D6C" w14:textId="77777777" w:rsidR="0052596E" w:rsidRDefault="0052596E" w:rsidP="00903718">
      <w:pPr>
        <w:spacing w:after="0" w:line="240" w:lineRule="auto"/>
        <w:rPr>
          <w:rFonts w:ascii="Arial" w:hAnsi="Arial" w:cs="Arial"/>
          <w:sz w:val="22"/>
        </w:rPr>
      </w:pPr>
    </w:p>
    <w:p w14:paraId="7B7E1B84" w14:textId="77777777" w:rsidR="00257912" w:rsidRPr="00903718" w:rsidRDefault="0052596E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pTX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Pri</w:t>
      </w:r>
      <w:r w:rsidR="002837B0">
        <w:rPr>
          <w:rFonts w:ascii="Arial" w:hAnsi="Arial" w:cs="Arial"/>
          <w:sz w:val="22"/>
        </w:rPr>
        <w:t>mary tumour cannot be assessed</w:t>
      </w:r>
      <w:r w:rsidR="00257912" w:rsidRPr="00903718">
        <w:rPr>
          <w:rFonts w:ascii="Arial" w:hAnsi="Arial" w:cs="Arial"/>
          <w:sz w:val="22"/>
        </w:rPr>
        <w:t xml:space="preserve"> </w:t>
      </w:r>
    </w:p>
    <w:p w14:paraId="2FF29B81" w14:textId="77777777" w:rsidR="00257912" w:rsidRPr="00903718" w:rsidRDefault="00257912" w:rsidP="0052596E">
      <w:pPr>
        <w:tabs>
          <w:tab w:val="left" w:pos="993"/>
        </w:tabs>
        <w:spacing w:after="120" w:line="240" w:lineRule="auto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pT0 </w:t>
      </w:r>
      <w:r w:rsidR="0052596E">
        <w:rPr>
          <w:rFonts w:ascii="Arial" w:hAnsi="Arial" w:cs="Arial"/>
          <w:sz w:val="22"/>
        </w:rPr>
        <w:tab/>
      </w:r>
      <w:r w:rsidRPr="00903718">
        <w:rPr>
          <w:rFonts w:ascii="Arial" w:hAnsi="Arial" w:cs="Arial"/>
          <w:sz w:val="22"/>
        </w:rPr>
        <w:t xml:space="preserve">No evidence of primary tumour  </w:t>
      </w:r>
    </w:p>
    <w:p w14:paraId="094463C8" w14:textId="77777777" w:rsidR="00257912" w:rsidRPr="00903718" w:rsidRDefault="00257912" w:rsidP="0052596E">
      <w:pPr>
        <w:tabs>
          <w:tab w:val="left" w:pos="993"/>
        </w:tabs>
        <w:spacing w:after="120" w:line="240" w:lineRule="auto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pTis </w:t>
      </w:r>
      <w:r w:rsidR="0052596E">
        <w:rPr>
          <w:rFonts w:ascii="Arial" w:hAnsi="Arial" w:cs="Arial"/>
          <w:sz w:val="22"/>
        </w:rPr>
        <w:tab/>
      </w:r>
      <w:r w:rsidRPr="00903718">
        <w:rPr>
          <w:rFonts w:ascii="Arial" w:hAnsi="Arial" w:cs="Arial"/>
          <w:sz w:val="22"/>
        </w:rPr>
        <w:t>Melanoma confined to the conjunctival epithelium (in situ)</w:t>
      </w:r>
      <w:hyperlink w:anchor="_">
        <w:r w:rsidR="0052596E" w:rsidRPr="005972A0">
          <w:rPr>
            <w:rStyle w:val="03Text"/>
            <w:rFonts w:ascii="Arial" w:hAnsi="Arial" w:cs="Arial"/>
            <w:color w:val="auto"/>
            <w:sz w:val="22"/>
            <w:u w:val="none"/>
          </w:rPr>
          <w:t>*</w:t>
        </w:r>
      </w:hyperlink>
    </w:p>
    <w:p w14:paraId="1FB4A0D0" w14:textId="77777777" w:rsidR="00257912" w:rsidRPr="00903718" w:rsidRDefault="0052596E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pT1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Melanoma of the bulbar conjunctiva</w:t>
      </w:r>
    </w:p>
    <w:p w14:paraId="6F8A0508" w14:textId="77777777" w:rsidR="00257912" w:rsidRPr="00903718" w:rsidRDefault="0052596E" w:rsidP="0052596E">
      <w:pPr>
        <w:spacing w:after="120" w:line="240" w:lineRule="auto"/>
        <w:ind w:left="1560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pT1a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Tumour 2.0 mm or less in thickness with invasion of the substantia propria</w:t>
      </w:r>
    </w:p>
    <w:p w14:paraId="1CEFE9F6" w14:textId="77777777" w:rsidR="002837B0" w:rsidRPr="00903718" w:rsidRDefault="002837B0" w:rsidP="002837B0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pT1</w:t>
      </w:r>
      <w:r>
        <w:rPr>
          <w:rFonts w:ascii="Arial" w:hAnsi="Arial" w:cs="Arial"/>
          <w:sz w:val="22"/>
        </w:rPr>
        <w:t xml:space="preserve">b </w:t>
      </w:r>
      <w:r>
        <w:rPr>
          <w:rFonts w:ascii="Arial" w:hAnsi="Arial" w:cs="Arial"/>
          <w:sz w:val="22"/>
        </w:rPr>
        <w:tab/>
      </w:r>
      <w:r w:rsidRPr="00903718">
        <w:rPr>
          <w:rFonts w:ascii="Arial" w:hAnsi="Arial" w:cs="Arial"/>
          <w:sz w:val="22"/>
        </w:rPr>
        <w:t xml:space="preserve">Tumour more than 2.0 mm in thickness </w:t>
      </w:r>
      <w:r>
        <w:rPr>
          <w:rFonts w:ascii="Arial" w:hAnsi="Arial" w:cs="Arial"/>
          <w:sz w:val="22"/>
        </w:rPr>
        <w:t>with invasion of the substantia</w:t>
      </w:r>
      <w:r>
        <w:rPr>
          <w:rFonts w:ascii="Arial" w:hAnsi="Arial" w:cs="Arial"/>
          <w:sz w:val="22"/>
        </w:rPr>
        <w:br/>
        <w:t xml:space="preserve">                   </w:t>
      </w:r>
      <w:r w:rsidRPr="00903718">
        <w:rPr>
          <w:rFonts w:ascii="Arial" w:hAnsi="Arial" w:cs="Arial"/>
          <w:sz w:val="22"/>
        </w:rPr>
        <w:t>propria</w:t>
      </w:r>
      <w:r w:rsidRPr="00903718" w:rsidDel="00257912">
        <w:rPr>
          <w:rFonts w:ascii="Arial" w:hAnsi="Arial" w:cs="Arial"/>
          <w:sz w:val="22"/>
        </w:rPr>
        <w:t xml:space="preserve"> </w:t>
      </w:r>
    </w:p>
    <w:p w14:paraId="3AEF4521" w14:textId="77777777" w:rsidR="00257912" w:rsidRPr="00903718" w:rsidRDefault="0052596E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pT2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Melanoma of the palpebral, forniceal or caruncular conjunctiva</w:t>
      </w:r>
      <w:r w:rsidR="00257912" w:rsidRPr="00903718" w:rsidDel="00257912">
        <w:rPr>
          <w:rFonts w:ascii="Arial" w:hAnsi="Arial" w:cs="Arial"/>
          <w:sz w:val="22"/>
        </w:rPr>
        <w:t xml:space="preserve"> </w:t>
      </w:r>
    </w:p>
    <w:p w14:paraId="083BD6C3" w14:textId="77777777" w:rsidR="00257912" w:rsidRPr="00903718" w:rsidRDefault="0052596E" w:rsidP="0052596E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pT2a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Tumour 2.0 mm or less in thickness with invasion of the substantia propria</w:t>
      </w:r>
      <w:r w:rsidR="00257912" w:rsidRPr="00903718" w:rsidDel="00257912">
        <w:rPr>
          <w:rFonts w:ascii="Arial" w:hAnsi="Arial" w:cs="Arial"/>
          <w:sz w:val="22"/>
        </w:rPr>
        <w:t xml:space="preserve"> </w:t>
      </w:r>
    </w:p>
    <w:p w14:paraId="7AAAAD29" w14:textId="77777777" w:rsidR="00257912" w:rsidRPr="00903718" w:rsidRDefault="0052596E" w:rsidP="0052596E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pT2b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 xml:space="preserve">Tumour more than 2.0 mm in thickness </w:t>
      </w:r>
      <w:r w:rsidR="002837B0">
        <w:rPr>
          <w:rFonts w:ascii="Arial" w:hAnsi="Arial" w:cs="Arial"/>
          <w:sz w:val="22"/>
        </w:rPr>
        <w:t>with invasion of the substantia</w:t>
      </w:r>
      <w:r w:rsidR="002837B0">
        <w:rPr>
          <w:rFonts w:ascii="Arial" w:hAnsi="Arial" w:cs="Arial"/>
          <w:sz w:val="22"/>
        </w:rPr>
        <w:br/>
        <w:t xml:space="preserve">                   </w:t>
      </w:r>
      <w:r w:rsidR="00257912" w:rsidRPr="00903718">
        <w:rPr>
          <w:rFonts w:ascii="Arial" w:hAnsi="Arial" w:cs="Arial"/>
          <w:sz w:val="22"/>
        </w:rPr>
        <w:t>propria</w:t>
      </w:r>
      <w:r w:rsidR="00257912" w:rsidRPr="00903718" w:rsidDel="00257912">
        <w:rPr>
          <w:rFonts w:ascii="Arial" w:hAnsi="Arial" w:cs="Arial"/>
          <w:sz w:val="22"/>
        </w:rPr>
        <w:t xml:space="preserve"> </w:t>
      </w:r>
    </w:p>
    <w:p w14:paraId="00C1F230" w14:textId="77777777" w:rsidR="00257912" w:rsidRPr="00903718" w:rsidRDefault="0052596E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pT3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Melanoma invades the eye, eyelid, nasolacrimal system or orbit</w:t>
      </w:r>
      <w:r w:rsidR="00257912" w:rsidRPr="00903718" w:rsidDel="00257912">
        <w:rPr>
          <w:rFonts w:ascii="Arial" w:hAnsi="Arial" w:cs="Arial"/>
          <w:sz w:val="22"/>
        </w:rPr>
        <w:t xml:space="preserve"> </w:t>
      </w:r>
    </w:p>
    <w:p w14:paraId="2B74CB51" w14:textId="77777777" w:rsidR="00257912" w:rsidRPr="00903718" w:rsidRDefault="0052596E" w:rsidP="0052596E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pT3a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Invades the globe</w:t>
      </w:r>
    </w:p>
    <w:p w14:paraId="3AA8BEE4" w14:textId="77777777" w:rsidR="00257912" w:rsidRPr="00903718" w:rsidRDefault="0052596E" w:rsidP="0052596E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pT3b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Invades the eyelid</w:t>
      </w:r>
    </w:p>
    <w:p w14:paraId="76AFF559" w14:textId="77777777" w:rsidR="00257912" w:rsidRPr="00903718" w:rsidRDefault="00257912" w:rsidP="0052596E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pT3c </w:t>
      </w:r>
      <w:r w:rsidR="0052596E">
        <w:rPr>
          <w:rFonts w:ascii="Arial" w:hAnsi="Arial" w:cs="Arial"/>
          <w:sz w:val="22"/>
        </w:rPr>
        <w:tab/>
      </w:r>
      <w:r w:rsidRPr="00903718">
        <w:rPr>
          <w:rFonts w:ascii="Arial" w:hAnsi="Arial" w:cs="Arial"/>
          <w:sz w:val="22"/>
        </w:rPr>
        <w:t>Invades the orbit</w:t>
      </w:r>
    </w:p>
    <w:p w14:paraId="5764489F" w14:textId="77777777" w:rsidR="00257912" w:rsidRPr="00903718" w:rsidRDefault="0052596E" w:rsidP="0052596E">
      <w:pPr>
        <w:spacing w:after="120" w:line="240" w:lineRule="auto"/>
        <w:ind w:left="99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pT3d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Invades the paranasal sinus and/or nasolacrimal duct or lacrimal sac</w:t>
      </w:r>
    </w:p>
    <w:p w14:paraId="3D42EE2D" w14:textId="77777777" w:rsidR="00257912" w:rsidRPr="00903718" w:rsidRDefault="0052596E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pT4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Melanoma invades the central nervous system</w:t>
      </w:r>
    </w:p>
    <w:p w14:paraId="4BB81C33" w14:textId="77777777" w:rsidR="00257912" w:rsidRPr="00903718" w:rsidRDefault="00257912" w:rsidP="0052596E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 </w:t>
      </w:r>
    </w:p>
    <w:p w14:paraId="711EA0EC" w14:textId="77777777" w:rsidR="00257912" w:rsidRPr="00903718" w:rsidRDefault="0052596E" w:rsidP="005972A0">
      <w:pPr>
        <w:pStyle w:val="Para09"/>
        <w:spacing w:beforeLines="0" w:line="240" w:lineRule="auto"/>
        <w:ind w:leftChars="0" w:left="0" w:firstLineChars="0" w:firstLine="0"/>
        <w:jc w:val="both"/>
        <w:rPr>
          <w:rFonts w:cs="Arial"/>
          <w:sz w:val="22"/>
          <w:szCs w:val="22"/>
        </w:rPr>
      </w:pPr>
      <w:r w:rsidRPr="005972A0">
        <w:rPr>
          <w:rFonts w:cs="Arial"/>
          <w:sz w:val="22"/>
          <w:szCs w:val="22"/>
        </w:rPr>
        <w:t>*</w:t>
      </w:r>
      <w:r w:rsidR="00257912" w:rsidRPr="00903718">
        <w:rPr>
          <w:rFonts w:cs="Arial"/>
          <w:sz w:val="22"/>
          <w:szCs w:val="22"/>
        </w:rPr>
        <w:t>pTis</w:t>
      </w:r>
      <w:r w:rsidR="005972A0">
        <w:rPr>
          <w:rFonts w:cs="Arial"/>
          <w:sz w:val="22"/>
          <w:szCs w:val="22"/>
        </w:rPr>
        <w:t>:</w:t>
      </w:r>
      <w:r w:rsidR="00257912" w:rsidRPr="00903718">
        <w:rPr>
          <w:rFonts w:cs="Arial"/>
          <w:sz w:val="22"/>
          <w:szCs w:val="22"/>
        </w:rPr>
        <w:t xml:space="preserve"> Melanoma in situ (includes the term primary acquired melanosis) with atypia</w:t>
      </w:r>
      <w:r w:rsidR="005972A0">
        <w:rPr>
          <w:rFonts w:cs="Arial"/>
          <w:sz w:val="22"/>
          <w:szCs w:val="22"/>
        </w:rPr>
        <w:t xml:space="preserve"> replacing greater than 75</w:t>
      </w:r>
      <w:r w:rsidR="00257912" w:rsidRPr="00903718">
        <w:rPr>
          <w:rFonts w:cs="Arial"/>
          <w:sz w:val="22"/>
          <w:szCs w:val="22"/>
        </w:rPr>
        <w:t>% of the normal epithelial thickness, with cytological features of epithelioid cells, including abundant cytoplasm, vesicular nuclei or prominent nucleoli, and/or presence of intraepithelial nests of atypical cells.</w:t>
      </w:r>
    </w:p>
    <w:p w14:paraId="3F107A1E" w14:textId="77777777" w:rsidR="00257912" w:rsidRPr="00903718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76299874" w14:textId="77777777" w:rsidR="00257912" w:rsidRPr="00903718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34CA85E3" w14:textId="77777777" w:rsidR="00257912" w:rsidRDefault="00257912" w:rsidP="00903718">
      <w:pPr>
        <w:pStyle w:val="Heading4"/>
        <w:spacing w:after="0" w:line="240" w:lineRule="auto"/>
        <w:ind w:left="10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Regional lymph nodes (pN)  </w:t>
      </w:r>
    </w:p>
    <w:p w14:paraId="587F3718" w14:textId="77777777" w:rsidR="0052596E" w:rsidRPr="0052596E" w:rsidRDefault="0052596E" w:rsidP="0052596E"/>
    <w:p w14:paraId="2371878F" w14:textId="77777777" w:rsidR="00257912" w:rsidRPr="00903718" w:rsidRDefault="0052596E" w:rsidP="0052596E">
      <w:pPr>
        <w:spacing w:after="120" w:line="240" w:lineRule="auto"/>
        <w:ind w:left="992" w:hanging="99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pNX</w:t>
      </w:r>
      <w:r w:rsidR="00257912" w:rsidRPr="009037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>Regional l</w:t>
      </w:r>
      <w:r w:rsidR="005972A0">
        <w:rPr>
          <w:rFonts w:ascii="Arial" w:hAnsi="Arial" w:cs="Arial"/>
          <w:sz w:val="22"/>
        </w:rPr>
        <w:t>ymph nodes cannot be assessed</w:t>
      </w:r>
    </w:p>
    <w:p w14:paraId="556A4BBE" w14:textId="77777777" w:rsidR="00257912" w:rsidRPr="00903718" w:rsidRDefault="0052596E" w:rsidP="0052596E">
      <w:pPr>
        <w:spacing w:after="120" w:line="240" w:lineRule="auto"/>
        <w:ind w:left="992" w:hanging="99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pN0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 xml:space="preserve">No regional lymph node metastasis  </w:t>
      </w:r>
    </w:p>
    <w:p w14:paraId="69E8AD36" w14:textId="77777777" w:rsidR="00257912" w:rsidRPr="00903718" w:rsidRDefault="0052596E" w:rsidP="002837B0">
      <w:pPr>
        <w:spacing w:after="0" w:line="240" w:lineRule="auto"/>
        <w:ind w:left="992" w:hanging="99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pN1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 xml:space="preserve">Regional lymph node metastasis  </w:t>
      </w:r>
    </w:p>
    <w:p w14:paraId="1E49CDC1" w14:textId="77777777" w:rsidR="00257912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 </w:t>
      </w:r>
    </w:p>
    <w:p w14:paraId="1067367D" w14:textId="77777777" w:rsidR="002837B0" w:rsidRPr="00903718" w:rsidRDefault="002837B0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62A216ED" w14:textId="77777777" w:rsidR="00257912" w:rsidRDefault="00257912" w:rsidP="00903718">
      <w:pPr>
        <w:pStyle w:val="Heading4"/>
        <w:spacing w:after="0" w:line="240" w:lineRule="auto"/>
        <w:ind w:left="10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Distant metastasis (pM) </w:t>
      </w:r>
    </w:p>
    <w:p w14:paraId="7F5660CE" w14:textId="77777777" w:rsidR="0052596E" w:rsidRPr="0052596E" w:rsidRDefault="0052596E" w:rsidP="0052596E"/>
    <w:p w14:paraId="2FCCAF74" w14:textId="77777777" w:rsidR="00257912" w:rsidRPr="00903718" w:rsidRDefault="00257912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>cM0</w:t>
      </w:r>
      <w:r w:rsidR="0052596E">
        <w:rPr>
          <w:rFonts w:ascii="Arial" w:hAnsi="Arial" w:cs="Arial"/>
          <w:sz w:val="22"/>
        </w:rPr>
        <w:t xml:space="preserve"> </w:t>
      </w:r>
      <w:r w:rsidR="0052596E">
        <w:rPr>
          <w:rFonts w:ascii="Arial" w:hAnsi="Arial" w:cs="Arial"/>
          <w:sz w:val="22"/>
        </w:rPr>
        <w:tab/>
      </w:r>
      <w:r w:rsidRPr="00903718">
        <w:rPr>
          <w:rFonts w:ascii="Arial" w:hAnsi="Arial" w:cs="Arial"/>
          <w:sz w:val="22"/>
        </w:rPr>
        <w:t xml:space="preserve">No evidence of distance metastasis </w:t>
      </w:r>
    </w:p>
    <w:p w14:paraId="5A73CF47" w14:textId="77777777" w:rsidR="00257912" w:rsidRPr="00903718" w:rsidRDefault="0052596E" w:rsidP="0052596E">
      <w:pPr>
        <w:spacing w:after="120" w:line="240" w:lineRule="auto"/>
        <w:ind w:left="993" w:hanging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pM1 </w:t>
      </w:r>
      <w:r>
        <w:rPr>
          <w:rFonts w:ascii="Arial" w:hAnsi="Arial" w:cs="Arial"/>
          <w:sz w:val="22"/>
        </w:rPr>
        <w:tab/>
      </w:r>
      <w:r w:rsidR="00257912" w:rsidRPr="00903718">
        <w:rPr>
          <w:rFonts w:ascii="Arial" w:hAnsi="Arial" w:cs="Arial"/>
          <w:sz w:val="22"/>
        </w:rPr>
        <w:t xml:space="preserve">Distant metastasis  </w:t>
      </w:r>
    </w:p>
    <w:p w14:paraId="27E3C457" w14:textId="77777777" w:rsidR="0052596E" w:rsidRDefault="0052596E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67F00682" w14:textId="77777777" w:rsidR="0052596E" w:rsidRDefault="0052596E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7E369F4F" w14:textId="77777777" w:rsidR="00257912" w:rsidRPr="00903718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108AA418" w14:textId="77777777" w:rsidR="00257912" w:rsidRPr="00903718" w:rsidRDefault="00257912" w:rsidP="00903718">
      <w:pPr>
        <w:spacing w:after="0" w:line="240" w:lineRule="auto"/>
        <w:ind w:left="-5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lastRenderedPageBreak/>
        <w:t xml:space="preserve">Stage group: No stage grouping is recommended at this time.  </w:t>
      </w:r>
    </w:p>
    <w:p w14:paraId="31C5F314" w14:textId="77777777" w:rsidR="0052596E" w:rsidRDefault="0052596E" w:rsidP="00903718">
      <w:pPr>
        <w:spacing w:after="0" w:line="240" w:lineRule="auto"/>
        <w:ind w:left="-5"/>
        <w:rPr>
          <w:rFonts w:ascii="Arial" w:hAnsi="Arial" w:cs="Arial"/>
          <w:sz w:val="22"/>
        </w:rPr>
      </w:pPr>
    </w:p>
    <w:p w14:paraId="120B0F40" w14:textId="77777777" w:rsidR="00257912" w:rsidRPr="00903718" w:rsidRDefault="00257912" w:rsidP="00903718">
      <w:pPr>
        <w:spacing w:after="0" w:line="240" w:lineRule="auto"/>
        <w:ind w:left="-5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>Histopathologic type: This categori</w:t>
      </w:r>
      <w:r w:rsidR="002837B0">
        <w:rPr>
          <w:rFonts w:ascii="Arial" w:hAnsi="Arial" w:cs="Arial"/>
          <w:sz w:val="22"/>
        </w:rPr>
        <w:t>s</w:t>
      </w:r>
      <w:r w:rsidRPr="00903718">
        <w:rPr>
          <w:rFonts w:ascii="Arial" w:hAnsi="Arial" w:cs="Arial"/>
          <w:sz w:val="22"/>
        </w:rPr>
        <w:t xml:space="preserve">ation applies only to melanoma of the conjunctiva.  </w:t>
      </w:r>
    </w:p>
    <w:p w14:paraId="4D54BA94" w14:textId="77777777" w:rsidR="00257912" w:rsidRPr="00903718" w:rsidRDefault="00257912" w:rsidP="009037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903718">
        <w:rPr>
          <w:rFonts w:ascii="Arial" w:hAnsi="Arial" w:cs="Arial"/>
          <w:sz w:val="22"/>
        </w:rPr>
        <w:t xml:space="preserve"> </w:t>
      </w:r>
    </w:p>
    <w:p w14:paraId="46869FAC" w14:textId="77777777" w:rsidR="00257912" w:rsidRDefault="0052596E" w:rsidP="00903718">
      <w:pPr>
        <w:spacing w:after="0" w:line="240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Histopathologic grade: </w:t>
      </w:r>
      <w:r w:rsidR="00257912" w:rsidRPr="00903718">
        <w:rPr>
          <w:rFonts w:ascii="Arial" w:hAnsi="Arial" w:cs="Arial"/>
          <w:sz w:val="22"/>
        </w:rPr>
        <w:t xml:space="preserve">This grade represents the origin of the primary tumour.  </w:t>
      </w:r>
    </w:p>
    <w:p w14:paraId="35A87682" w14:textId="77777777" w:rsidR="0052596E" w:rsidRPr="00903718" w:rsidRDefault="0052596E" w:rsidP="00903718">
      <w:pPr>
        <w:spacing w:after="0" w:line="240" w:lineRule="auto"/>
        <w:ind w:left="-5"/>
        <w:rPr>
          <w:rFonts w:ascii="Arial" w:hAnsi="Arial" w:cs="Arial"/>
          <w:sz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257912" w:rsidRPr="00903718" w14:paraId="7DC93820" w14:textId="77777777" w:rsidTr="0052596E">
        <w:tc>
          <w:tcPr>
            <w:tcW w:w="99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717B8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bookmarkStart w:id="0" w:name="GX"/>
            <w:r w:rsidRPr="00903718">
              <w:rPr>
                <w:rFonts w:ascii="Arial" w:hAnsi="Arial" w:cs="Arial"/>
                <w:sz w:val="22"/>
              </w:rPr>
              <w:t>GX</w:t>
            </w:r>
            <w:bookmarkEnd w:id="0"/>
          </w:p>
        </w:tc>
        <w:tc>
          <w:tcPr>
            <w:tcW w:w="70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5B40D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903718">
              <w:rPr>
                <w:rFonts w:ascii="Arial" w:hAnsi="Arial" w:cs="Arial"/>
                <w:sz w:val="22"/>
              </w:rPr>
              <w:t>Origin cannot be assessed</w:t>
            </w:r>
          </w:p>
        </w:tc>
      </w:tr>
      <w:tr w:rsidR="00257912" w:rsidRPr="00903718" w14:paraId="0CDA32C4" w14:textId="77777777" w:rsidTr="0052596E">
        <w:tc>
          <w:tcPr>
            <w:tcW w:w="99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B28ED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bookmarkStart w:id="1" w:name="G0"/>
            <w:r w:rsidRPr="00903718">
              <w:rPr>
                <w:rFonts w:ascii="Arial" w:hAnsi="Arial" w:cs="Arial"/>
                <w:sz w:val="22"/>
              </w:rPr>
              <w:t>G0</w:t>
            </w:r>
            <w:bookmarkEnd w:id="1"/>
          </w:p>
        </w:tc>
        <w:tc>
          <w:tcPr>
            <w:tcW w:w="70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DC4F8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903718">
              <w:rPr>
                <w:rFonts w:ascii="Arial" w:hAnsi="Arial" w:cs="Arial"/>
                <w:sz w:val="22"/>
              </w:rPr>
              <w:t>Primary acquired melanosis without cellular atypia</w:t>
            </w:r>
          </w:p>
        </w:tc>
      </w:tr>
      <w:tr w:rsidR="00257912" w:rsidRPr="00903718" w14:paraId="7C8E6D46" w14:textId="77777777" w:rsidTr="0052596E">
        <w:tc>
          <w:tcPr>
            <w:tcW w:w="99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A466C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bookmarkStart w:id="2" w:name="G1"/>
            <w:r w:rsidRPr="00903718">
              <w:rPr>
                <w:rFonts w:ascii="Arial" w:hAnsi="Arial" w:cs="Arial"/>
                <w:sz w:val="22"/>
              </w:rPr>
              <w:t>G1</w:t>
            </w:r>
            <w:bookmarkEnd w:id="2"/>
          </w:p>
        </w:tc>
        <w:tc>
          <w:tcPr>
            <w:tcW w:w="70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C6012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903718">
              <w:rPr>
                <w:rFonts w:ascii="Arial" w:hAnsi="Arial" w:cs="Arial"/>
                <w:sz w:val="22"/>
              </w:rPr>
              <w:t>Conjunctival nevus</w:t>
            </w:r>
          </w:p>
        </w:tc>
      </w:tr>
      <w:tr w:rsidR="00257912" w:rsidRPr="00903718" w14:paraId="112DA3BF" w14:textId="77777777" w:rsidTr="0052596E">
        <w:tc>
          <w:tcPr>
            <w:tcW w:w="99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3155B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bookmarkStart w:id="3" w:name="G2"/>
            <w:r w:rsidRPr="00903718">
              <w:rPr>
                <w:rFonts w:ascii="Arial" w:hAnsi="Arial" w:cs="Arial"/>
                <w:sz w:val="22"/>
              </w:rPr>
              <w:t>G2</w:t>
            </w:r>
            <w:bookmarkEnd w:id="3"/>
          </w:p>
        </w:tc>
        <w:tc>
          <w:tcPr>
            <w:tcW w:w="70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738DF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903718">
              <w:rPr>
                <w:rFonts w:ascii="Arial" w:hAnsi="Arial" w:cs="Arial"/>
                <w:sz w:val="22"/>
              </w:rPr>
              <w:t>Primary acquired melanosis with cellular atypia (epithelial disease only)</w:t>
            </w:r>
          </w:p>
        </w:tc>
      </w:tr>
      <w:tr w:rsidR="00257912" w:rsidRPr="00903718" w14:paraId="7DB66E82" w14:textId="77777777" w:rsidTr="0052596E">
        <w:tc>
          <w:tcPr>
            <w:tcW w:w="99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F9CF9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bookmarkStart w:id="4" w:name="G3"/>
            <w:r w:rsidRPr="00903718">
              <w:rPr>
                <w:rFonts w:ascii="Arial" w:hAnsi="Arial" w:cs="Arial"/>
                <w:sz w:val="22"/>
              </w:rPr>
              <w:t>G3</w:t>
            </w:r>
            <w:bookmarkEnd w:id="4"/>
          </w:p>
        </w:tc>
        <w:tc>
          <w:tcPr>
            <w:tcW w:w="70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5B3FA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903718">
              <w:rPr>
                <w:rFonts w:ascii="Arial" w:hAnsi="Arial" w:cs="Arial"/>
                <w:sz w:val="22"/>
              </w:rPr>
              <w:t>Primary acquired melanosis with epithelial cellular atypia and invasive melanoma</w:t>
            </w:r>
          </w:p>
        </w:tc>
      </w:tr>
      <w:tr w:rsidR="00257912" w:rsidRPr="00903718" w14:paraId="5972679D" w14:textId="77777777" w:rsidTr="0052596E">
        <w:tc>
          <w:tcPr>
            <w:tcW w:w="99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A789F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bookmarkStart w:id="5" w:name="G4"/>
            <w:r w:rsidRPr="00903718">
              <w:rPr>
                <w:rFonts w:ascii="Arial" w:hAnsi="Arial" w:cs="Arial"/>
                <w:sz w:val="22"/>
              </w:rPr>
              <w:t>G4</w:t>
            </w:r>
            <w:bookmarkEnd w:id="5"/>
          </w:p>
        </w:tc>
        <w:tc>
          <w:tcPr>
            <w:tcW w:w="70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24E4B" w14:textId="77777777" w:rsidR="00257912" w:rsidRPr="00903718" w:rsidRDefault="00257912" w:rsidP="0052596E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903718">
              <w:rPr>
                <w:rFonts w:ascii="Arial" w:hAnsi="Arial" w:cs="Arial"/>
                <w:sz w:val="22"/>
              </w:rPr>
              <w:t>De novo malignant melanoma</w:t>
            </w:r>
          </w:p>
        </w:tc>
      </w:tr>
    </w:tbl>
    <w:p w14:paraId="14FDE01C" w14:textId="77777777" w:rsidR="00257912" w:rsidRPr="00903718" w:rsidRDefault="00257912" w:rsidP="00903718">
      <w:pPr>
        <w:spacing w:after="0" w:line="240" w:lineRule="auto"/>
        <w:rPr>
          <w:rFonts w:ascii="Arial" w:hAnsi="Arial" w:cs="Arial"/>
          <w:sz w:val="22"/>
        </w:rPr>
      </w:pPr>
    </w:p>
    <w:p w14:paraId="6A8B3F20" w14:textId="77777777" w:rsidR="00257912" w:rsidRPr="00903718" w:rsidRDefault="002837B0" w:rsidP="00903718">
      <w:pPr>
        <w:spacing w:after="0" w:line="240" w:lineRule="auto"/>
        <w:ind w:left="567" w:right="181" w:hanging="567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Reference</w:t>
      </w:r>
      <w:bookmarkStart w:id="6" w:name="_GoBack"/>
      <w:bookmarkEnd w:id="6"/>
    </w:p>
    <w:p w14:paraId="7B01AE39" w14:textId="77777777" w:rsidR="00257912" w:rsidRPr="00903718" w:rsidRDefault="00257912" w:rsidP="00903718">
      <w:pPr>
        <w:spacing w:after="0" w:line="240" w:lineRule="auto"/>
        <w:ind w:left="567" w:right="181" w:hanging="567"/>
        <w:rPr>
          <w:rFonts w:ascii="Arial" w:eastAsia="Calibri" w:hAnsi="Arial" w:cs="Arial"/>
          <w:b/>
          <w:sz w:val="22"/>
        </w:rPr>
      </w:pPr>
    </w:p>
    <w:p w14:paraId="0A85CDBA" w14:textId="77777777" w:rsidR="00257912" w:rsidRPr="00903718" w:rsidRDefault="0052596E" w:rsidP="00903718">
      <w:pPr>
        <w:spacing w:after="0" w:line="240" w:lineRule="auto"/>
        <w:ind w:left="567" w:right="181" w:hanging="567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1</w:t>
      </w:r>
      <w:r w:rsidR="00257912" w:rsidRPr="00903718">
        <w:rPr>
          <w:rFonts w:ascii="Arial" w:eastAsia="Calibri" w:hAnsi="Arial" w:cs="Arial"/>
          <w:sz w:val="22"/>
        </w:rPr>
        <w:tab/>
        <w:t xml:space="preserve">Malignant Melanoma of Conjuctiva. </w:t>
      </w:r>
      <w:r w:rsidR="00257912" w:rsidRPr="00903718">
        <w:rPr>
          <w:rFonts w:ascii="Arial" w:eastAsia="Calibri" w:hAnsi="Arial" w:cs="Arial"/>
          <w:i/>
          <w:sz w:val="22"/>
        </w:rPr>
        <w:t>In</w:t>
      </w:r>
      <w:r w:rsidR="00257912" w:rsidRPr="00903718">
        <w:rPr>
          <w:rFonts w:ascii="Arial" w:eastAsia="Calibri" w:hAnsi="Arial" w:cs="Arial"/>
          <w:sz w:val="22"/>
        </w:rPr>
        <w:t>: Brierley JD, Gospodarowicz MK, Wittekind C</w:t>
      </w:r>
      <w:r w:rsidR="00903718" w:rsidRPr="00903718">
        <w:rPr>
          <w:rFonts w:ascii="Arial" w:eastAsia="Calibri" w:hAnsi="Arial" w:cs="Arial"/>
          <w:sz w:val="22"/>
        </w:rPr>
        <w:t xml:space="preserve"> (eds</w:t>
      </w:r>
      <w:r w:rsidR="00257912" w:rsidRPr="00903718">
        <w:rPr>
          <w:rFonts w:ascii="Arial" w:eastAsia="Calibri" w:hAnsi="Arial" w:cs="Arial"/>
          <w:sz w:val="22"/>
        </w:rPr>
        <w:t xml:space="preserve">). </w:t>
      </w:r>
      <w:r w:rsidR="00257912" w:rsidRPr="00903718">
        <w:rPr>
          <w:rFonts w:ascii="Arial" w:eastAsia="Calibri" w:hAnsi="Arial" w:cs="Arial"/>
          <w:i/>
          <w:sz w:val="22"/>
        </w:rPr>
        <w:t>TNM Classification</w:t>
      </w:r>
      <w:r w:rsidR="00903718" w:rsidRPr="00903718">
        <w:rPr>
          <w:rFonts w:ascii="Arial" w:eastAsia="Calibri" w:hAnsi="Arial" w:cs="Arial"/>
          <w:i/>
          <w:sz w:val="22"/>
        </w:rPr>
        <w:t xml:space="preserve"> of Malignant Tumours (</w:t>
      </w:r>
      <w:r w:rsidR="00257912" w:rsidRPr="00903718">
        <w:rPr>
          <w:rFonts w:ascii="Arial" w:eastAsia="Calibri" w:hAnsi="Arial" w:cs="Arial"/>
          <w:i/>
          <w:sz w:val="22"/>
        </w:rPr>
        <w:t>8</w:t>
      </w:r>
      <w:r w:rsidR="00257912" w:rsidRPr="00903718">
        <w:rPr>
          <w:rFonts w:ascii="Arial" w:eastAsia="Calibri" w:hAnsi="Arial" w:cs="Arial"/>
          <w:i/>
          <w:sz w:val="22"/>
          <w:vertAlign w:val="superscript"/>
        </w:rPr>
        <w:t>th</w:t>
      </w:r>
      <w:r w:rsidR="00257912" w:rsidRPr="00903718">
        <w:rPr>
          <w:rFonts w:ascii="Arial" w:eastAsia="Calibri" w:hAnsi="Arial" w:cs="Arial"/>
          <w:i/>
          <w:sz w:val="22"/>
        </w:rPr>
        <w:t xml:space="preserve"> edition</w:t>
      </w:r>
      <w:r w:rsidR="00903718" w:rsidRPr="00903718">
        <w:rPr>
          <w:rFonts w:ascii="Arial" w:eastAsia="Calibri" w:hAnsi="Arial" w:cs="Arial"/>
          <w:i/>
          <w:sz w:val="22"/>
        </w:rPr>
        <w:t>)</w:t>
      </w:r>
      <w:r w:rsidR="00257912" w:rsidRPr="00903718">
        <w:rPr>
          <w:rFonts w:ascii="Arial" w:eastAsia="Calibri" w:hAnsi="Arial" w:cs="Arial"/>
          <w:i/>
          <w:sz w:val="22"/>
        </w:rPr>
        <w:t>.</w:t>
      </w:r>
      <w:r w:rsidR="00257912" w:rsidRPr="00903718">
        <w:rPr>
          <w:rFonts w:ascii="Arial" w:eastAsia="Calibri" w:hAnsi="Arial" w:cs="Arial"/>
          <w:sz w:val="22"/>
        </w:rPr>
        <w:t xml:space="preserve"> </w:t>
      </w:r>
      <w:r w:rsidR="00903718" w:rsidRPr="00903718">
        <w:rPr>
          <w:rFonts w:ascii="Arial" w:eastAsia="Calibri" w:hAnsi="Arial" w:cs="Arial"/>
          <w:sz w:val="22"/>
        </w:rPr>
        <w:t>Oxford, UK: Wiley-Blackwell, 2017</w:t>
      </w:r>
      <w:r w:rsidR="00257912" w:rsidRPr="00903718">
        <w:rPr>
          <w:rFonts w:ascii="Arial" w:eastAsia="Calibri" w:hAnsi="Arial" w:cs="Arial"/>
          <w:sz w:val="22"/>
        </w:rPr>
        <w:t xml:space="preserve">. </w:t>
      </w:r>
    </w:p>
    <w:p w14:paraId="4A32065A" w14:textId="77777777" w:rsidR="00257912" w:rsidRPr="00903718" w:rsidRDefault="00257912" w:rsidP="00903718">
      <w:pPr>
        <w:spacing w:after="0" w:line="240" w:lineRule="auto"/>
        <w:rPr>
          <w:rFonts w:ascii="Arial" w:hAnsi="Arial" w:cs="Arial"/>
          <w:sz w:val="22"/>
        </w:rPr>
      </w:pPr>
    </w:p>
    <w:sectPr w:rsidR="00257912" w:rsidRPr="00903718" w:rsidSect="005259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0481"/>
    <w:multiLevelType w:val="hybridMultilevel"/>
    <w:tmpl w:val="037631C6"/>
    <w:lvl w:ilvl="0" w:tplc="F28CA438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334CE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1E13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90D4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41282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9E9A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06A4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00EA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FCBF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D96FA9"/>
    <w:multiLevelType w:val="hybridMultilevel"/>
    <w:tmpl w:val="0348331C"/>
    <w:lvl w:ilvl="0" w:tplc="3A6C8A70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D064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9640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4AA9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5E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A474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88C1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7869C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65C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1E250B"/>
    <w:multiLevelType w:val="hybridMultilevel"/>
    <w:tmpl w:val="C2DAC1A0"/>
    <w:lvl w:ilvl="0" w:tplc="AA54060C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60EA8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B00C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F4A6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03C1D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DE254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A022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60CA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1C6C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12"/>
    <w:rsid w:val="000B456E"/>
    <w:rsid w:val="000C55F7"/>
    <w:rsid w:val="00121513"/>
    <w:rsid w:val="00206D46"/>
    <w:rsid w:val="00257912"/>
    <w:rsid w:val="00276658"/>
    <w:rsid w:val="002837B0"/>
    <w:rsid w:val="002D6C4A"/>
    <w:rsid w:val="002F2912"/>
    <w:rsid w:val="00320AE2"/>
    <w:rsid w:val="00320F60"/>
    <w:rsid w:val="00357541"/>
    <w:rsid w:val="00373ACF"/>
    <w:rsid w:val="0052596E"/>
    <w:rsid w:val="005972A0"/>
    <w:rsid w:val="005F3746"/>
    <w:rsid w:val="00605236"/>
    <w:rsid w:val="007179DB"/>
    <w:rsid w:val="0076546D"/>
    <w:rsid w:val="007B2838"/>
    <w:rsid w:val="007D3AEF"/>
    <w:rsid w:val="008262A7"/>
    <w:rsid w:val="00903718"/>
    <w:rsid w:val="00940F23"/>
    <w:rsid w:val="00A9517B"/>
    <w:rsid w:val="00AA69E8"/>
    <w:rsid w:val="00BF1182"/>
    <w:rsid w:val="00C22582"/>
    <w:rsid w:val="00C25AF4"/>
    <w:rsid w:val="00D6094D"/>
    <w:rsid w:val="00D95A49"/>
    <w:rsid w:val="00E27613"/>
    <w:rsid w:val="00EC0B4F"/>
    <w:rsid w:val="00EC4D20"/>
    <w:rsid w:val="00F27759"/>
    <w:rsid w:val="00FB395A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16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12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257912"/>
    <w:pPr>
      <w:keepNext/>
      <w:keepLines/>
      <w:spacing w:after="99"/>
      <w:ind w:left="536" w:hanging="10"/>
      <w:outlineLvl w:val="2"/>
    </w:pPr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257912"/>
    <w:pPr>
      <w:keepNext/>
      <w:keepLines/>
      <w:spacing w:after="99"/>
      <w:ind w:left="536" w:hanging="10"/>
      <w:outlineLvl w:val="3"/>
    </w:pPr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912"/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57912"/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character" w:customStyle="1" w:styleId="03Text">
    <w:name w:val="03 Text"/>
    <w:rsid w:val="002579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12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customStyle="1" w:styleId="Para09">
    <w:name w:val="Para 09"/>
    <w:basedOn w:val="Normal"/>
    <w:qFormat/>
    <w:rsid w:val="00257912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spacing w:beforeLines="75" w:after="0" w:line="215" w:lineRule="atLeast"/>
      <w:ind w:leftChars="125" w:left="125" w:hangingChars="125" w:hanging="125"/>
      <w:jc w:val="left"/>
    </w:pPr>
    <w:rPr>
      <w:rFonts w:ascii="Arial" w:eastAsia="Cambria" w:hAnsi="Arial"/>
      <w:sz w:val="20"/>
      <w:szCs w:val="18"/>
    </w:rPr>
  </w:style>
  <w:style w:type="character" w:customStyle="1" w:styleId="19Text">
    <w:name w:val="19 Text"/>
    <w:rsid w:val="00257912"/>
    <w:rPr>
      <w:color w:val="0000FF"/>
      <w:u w:val="single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12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257912"/>
    <w:pPr>
      <w:keepNext/>
      <w:keepLines/>
      <w:spacing w:after="99"/>
      <w:ind w:left="536" w:hanging="10"/>
      <w:outlineLvl w:val="2"/>
    </w:pPr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257912"/>
    <w:pPr>
      <w:keepNext/>
      <w:keepLines/>
      <w:spacing w:after="99"/>
      <w:ind w:left="536" w:hanging="10"/>
      <w:outlineLvl w:val="3"/>
    </w:pPr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912"/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57912"/>
    <w:rPr>
      <w:rFonts w:ascii="Times New Roman" w:eastAsia="Times New Roman" w:hAnsi="Times New Roman" w:cs="Times New Roman"/>
      <w:b/>
      <w:color w:val="000000"/>
      <w:sz w:val="21"/>
      <w:lang w:eastAsia="en-GB"/>
    </w:rPr>
  </w:style>
  <w:style w:type="character" w:customStyle="1" w:styleId="03Text">
    <w:name w:val="03 Text"/>
    <w:rsid w:val="002579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12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customStyle="1" w:styleId="Para09">
    <w:name w:val="Para 09"/>
    <w:basedOn w:val="Normal"/>
    <w:qFormat/>
    <w:rsid w:val="00257912"/>
    <w:pPr>
      <w:pBdr>
        <w:top w:val="none" w:sz="2" w:space="0" w:color="auto"/>
        <w:left w:val="none" w:sz="2" w:space="0" w:color="auto"/>
        <w:bottom w:val="none" w:sz="2" w:space="0" w:color="auto"/>
        <w:right w:val="none" w:sz="2" w:space="0" w:color="auto"/>
      </w:pBdr>
      <w:spacing w:beforeLines="75" w:after="0" w:line="215" w:lineRule="atLeast"/>
      <w:ind w:leftChars="125" w:left="125" w:hangingChars="125" w:hanging="125"/>
      <w:jc w:val="left"/>
    </w:pPr>
    <w:rPr>
      <w:rFonts w:ascii="Arial" w:eastAsia="Cambria" w:hAnsi="Arial"/>
      <w:sz w:val="20"/>
      <w:szCs w:val="18"/>
    </w:rPr>
  </w:style>
  <w:style w:type="character" w:customStyle="1" w:styleId="19Text">
    <w:name w:val="19 Text"/>
    <w:rsid w:val="00257912"/>
    <w:rPr>
      <w:color w:val="0000FF"/>
      <w:u w:val="singl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Rous</dc:creator>
  <cp:keywords/>
  <dc:description/>
  <cp:lastModifiedBy>Stacy</cp:lastModifiedBy>
  <cp:revision>3</cp:revision>
  <dcterms:created xsi:type="dcterms:W3CDTF">2017-10-12T14:55:00Z</dcterms:created>
  <dcterms:modified xsi:type="dcterms:W3CDTF">2017-10-12T15:01:00Z</dcterms:modified>
</cp:coreProperties>
</file>