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EF7ED" w14:textId="77777777" w:rsidR="0012010A" w:rsidRPr="00661CC1" w:rsidRDefault="00C30C75" w:rsidP="00F06531">
      <w:pPr>
        <w:pStyle w:val="Heading1"/>
        <w:ind w:left="2000" w:hanging="2000"/>
        <w:rPr>
          <w:szCs w:val="24"/>
        </w:rPr>
      </w:pPr>
      <w:bookmarkStart w:id="0" w:name="_Toc109343"/>
      <w:r w:rsidRPr="00661CC1">
        <w:rPr>
          <w:szCs w:val="24"/>
        </w:rPr>
        <w:t xml:space="preserve">Appendix A </w:t>
      </w:r>
      <w:r w:rsidRPr="00661CC1">
        <w:rPr>
          <w:szCs w:val="24"/>
        </w:rPr>
        <w:tab/>
        <w:t>TNM classification</w:t>
      </w:r>
      <w:bookmarkEnd w:id="0"/>
      <w:r w:rsidR="00661CC1">
        <w:rPr>
          <w:szCs w:val="24"/>
        </w:rPr>
        <w:t xml:space="preserve"> of liver, gallbladder, </w:t>
      </w:r>
      <w:proofErr w:type="spellStart"/>
      <w:r w:rsidR="00661CC1">
        <w:rPr>
          <w:szCs w:val="24"/>
        </w:rPr>
        <w:t>perihilar</w:t>
      </w:r>
      <w:proofErr w:type="spellEnd"/>
      <w:r w:rsidR="00661CC1">
        <w:rPr>
          <w:szCs w:val="24"/>
        </w:rPr>
        <w:t xml:space="preserve"> bile ducts and </w:t>
      </w:r>
      <w:r w:rsidR="00661CC1" w:rsidRPr="00661CC1">
        <w:rPr>
          <w:szCs w:val="24"/>
        </w:rPr>
        <w:t>intrahepatic bile ducts</w:t>
      </w:r>
      <w:r w:rsidR="00661CC1">
        <w:rPr>
          <w:szCs w:val="24"/>
        </w:rPr>
        <w:t xml:space="preserve"> (UICC TNM 8)</w:t>
      </w:r>
    </w:p>
    <w:p w14:paraId="08BA0622" w14:textId="77777777" w:rsidR="0012010A" w:rsidRDefault="0012010A">
      <w:pPr>
        <w:spacing w:after="0" w:line="245" w:lineRule="auto"/>
        <w:ind w:left="0" w:right="10015" w:firstLine="0"/>
        <w:jc w:val="left"/>
        <w:rPr>
          <w:rFonts w:eastAsia="Times New Roman"/>
          <w:b/>
        </w:rPr>
      </w:pPr>
    </w:p>
    <w:p w14:paraId="638A0151" w14:textId="77777777" w:rsidR="00F06531" w:rsidRPr="00661CC1" w:rsidRDefault="00F06531">
      <w:pPr>
        <w:spacing w:after="0" w:line="245" w:lineRule="auto"/>
        <w:ind w:left="0" w:right="10015" w:firstLine="0"/>
        <w:jc w:val="left"/>
        <w:rPr>
          <w:rFonts w:eastAsia="Times New Roman"/>
          <w:b/>
        </w:rPr>
      </w:pPr>
    </w:p>
    <w:p w14:paraId="40617EC1" w14:textId="77777777" w:rsidR="00497599" w:rsidRPr="00661CC1" w:rsidRDefault="00AD0F50" w:rsidP="00497599">
      <w:pPr>
        <w:tabs>
          <w:tab w:val="left" w:pos="1701"/>
        </w:tabs>
        <w:rPr>
          <w:rFonts w:eastAsia="Calibri"/>
        </w:rPr>
      </w:pPr>
      <w:r>
        <w:rPr>
          <w:rFonts w:eastAsia="Calibri"/>
        </w:rPr>
        <w:t>This update to Appendix A provides</w:t>
      </w:r>
      <w:r w:rsidR="00497599" w:rsidRPr="00661CC1">
        <w:rPr>
          <w:rFonts w:eastAsia="Calibri"/>
        </w:rPr>
        <w:t xml:space="preserve"> updated information on staging using UICC TNM 8</w:t>
      </w:r>
      <w:r w:rsidR="00B3519C">
        <w:rPr>
          <w:rFonts w:eastAsia="Calibri"/>
        </w:rPr>
        <w:t>,</w:t>
      </w:r>
      <w:r w:rsidR="00497599" w:rsidRPr="00661CC1">
        <w:rPr>
          <w:rFonts w:eastAsia="Calibri"/>
        </w:rPr>
        <w:t xml:space="preserve"> which should be used for al</w:t>
      </w:r>
      <w:r w:rsidR="00B3519C">
        <w:rPr>
          <w:rFonts w:eastAsia="Calibri"/>
        </w:rPr>
        <w:t xml:space="preserve">l tumours diagnosed after 1 January </w:t>
      </w:r>
      <w:r w:rsidR="00497599" w:rsidRPr="00661CC1">
        <w:rPr>
          <w:rFonts w:eastAsia="Calibri"/>
        </w:rPr>
        <w:t xml:space="preserve">2018.  </w:t>
      </w:r>
    </w:p>
    <w:p w14:paraId="77489564" w14:textId="77777777" w:rsidR="00497599" w:rsidRPr="00661CC1" w:rsidRDefault="00497599">
      <w:pPr>
        <w:spacing w:after="0" w:line="245" w:lineRule="auto"/>
        <w:ind w:left="0" w:right="10015" w:firstLine="0"/>
        <w:jc w:val="left"/>
      </w:pPr>
    </w:p>
    <w:p w14:paraId="36981105" w14:textId="77777777" w:rsidR="0012010A" w:rsidRPr="00661CC1" w:rsidRDefault="00C30C75">
      <w:pPr>
        <w:ind w:right="94"/>
      </w:pPr>
      <w:r w:rsidRPr="00661CC1">
        <w:t xml:space="preserve">This appendix lists the TNM classifications for hepatocellular carcinoma, intrahepatic cholangiocarcinoma, </w:t>
      </w:r>
      <w:proofErr w:type="spellStart"/>
      <w:r w:rsidRPr="00661CC1">
        <w:t>perihilar</w:t>
      </w:r>
      <w:proofErr w:type="spellEnd"/>
      <w:r w:rsidRPr="00661CC1">
        <w:t xml:space="preserve"> cholangiocarcinoma and gall bladder carcinoma. There should be histological confirmation of the disease and separation of cases by histological type. </w:t>
      </w:r>
    </w:p>
    <w:p w14:paraId="02D1B1AE" w14:textId="77777777" w:rsidR="0012010A" w:rsidRPr="00661CC1" w:rsidRDefault="00C30C75">
      <w:pPr>
        <w:spacing w:after="0" w:line="259" w:lineRule="auto"/>
        <w:ind w:left="0" w:right="0" w:firstLine="0"/>
        <w:jc w:val="left"/>
      </w:pPr>
      <w:r w:rsidRPr="00661CC1">
        <w:t xml:space="preserve"> </w:t>
      </w:r>
    </w:p>
    <w:p w14:paraId="419A10EA" w14:textId="77777777" w:rsidR="0012010A" w:rsidRPr="00661CC1" w:rsidRDefault="00C30C75" w:rsidP="000F5E9F">
      <w:pPr>
        <w:spacing w:after="0" w:line="247" w:lineRule="auto"/>
        <w:ind w:left="11" w:right="96" w:hanging="11"/>
      </w:pPr>
      <w:r w:rsidRPr="00661CC1">
        <w:t xml:space="preserve">The </w:t>
      </w:r>
      <w:proofErr w:type="spellStart"/>
      <w:r w:rsidRPr="00661CC1">
        <w:t>pT</w:t>
      </w:r>
      <w:proofErr w:type="spellEnd"/>
      <w:r w:rsidRPr="00661CC1">
        <w:t xml:space="preserve">, pN and </w:t>
      </w:r>
      <w:proofErr w:type="spellStart"/>
      <w:r w:rsidRPr="00661CC1">
        <w:t>pM</w:t>
      </w:r>
      <w:proofErr w:type="spellEnd"/>
      <w:r w:rsidRPr="00661CC1">
        <w:t xml:space="preserve"> categories correspond to the T, N and M categories. </w:t>
      </w:r>
    </w:p>
    <w:p w14:paraId="4E87BD65" w14:textId="77777777" w:rsidR="0012010A" w:rsidRDefault="0012010A">
      <w:pPr>
        <w:spacing w:after="0" w:line="259" w:lineRule="auto"/>
        <w:ind w:left="0" w:right="0" w:firstLine="0"/>
        <w:jc w:val="left"/>
      </w:pPr>
    </w:p>
    <w:p w14:paraId="4879BB1C" w14:textId="77777777" w:rsidR="00F06531" w:rsidRDefault="00F06531">
      <w:pPr>
        <w:spacing w:after="0" w:line="259" w:lineRule="auto"/>
        <w:ind w:left="0" w:right="0" w:firstLine="0"/>
        <w:jc w:val="left"/>
      </w:pPr>
    </w:p>
    <w:p w14:paraId="010BFED6" w14:textId="77777777" w:rsidR="00661CC1" w:rsidRPr="00B3519C" w:rsidRDefault="00661CC1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 w:rsidRPr="00B3519C">
        <w:rPr>
          <w:b/>
          <w:sz w:val="24"/>
          <w:szCs w:val="24"/>
        </w:rPr>
        <w:t>Primary tumour (</w:t>
      </w:r>
      <w:proofErr w:type="spellStart"/>
      <w:r w:rsidRPr="00B3519C">
        <w:rPr>
          <w:b/>
          <w:sz w:val="24"/>
          <w:szCs w:val="24"/>
        </w:rPr>
        <w:t>pT</w:t>
      </w:r>
      <w:proofErr w:type="spellEnd"/>
      <w:r w:rsidRPr="00B3519C">
        <w:rPr>
          <w:b/>
          <w:sz w:val="24"/>
          <w:szCs w:val="24"/>
        </w:rPr>
        <w:t>)</w:t>
      </w:r>
    </w:p>
    <w:p w14:paraId="443C0D2B" w14:textId="77777777" w:rsidR="00661CC1" w:rsidRPr="00661CC1" w:rsidRDefault="00661CC1">
      <w:pPr>
        <w:spacing w:after="0" w:line="259" w:lineRule="auto"/>
        <w:ind w:left="0" w:right="0" w:firstLine="0"/>
        <w:jc w:val="left"/>
        <w:rPr>
          <w:b/>
        </w:rPr>
      </w:pPr>
    </w:p>
    <w:p w14:paraId="4ED1F1A7" w14:textId="77777777" w:rsidR="0012010A" w:rsidRDefault="00C30C75">
      <w:pPr>
        <w:pStyle w:val="Heading6"/>
        <w:ind w:left="-5" w:right="0"/>
      </w:pPr>
      <w:r w:rsidRPr="00661CC1">
        <w:t xml:space="preserve">Hepatocellular carcinoma </w:t>
      </w:r>
    </w:p>
    <w:p w14:paraId="67308076" w14:textId="77777777" w:rsidR="00661CC1" w:rsidRPr="00661CC1" w:rsidRDefault="00661CC1" w:rsidP="00661CC1"/>
    <w:p w14:paraId="4ABD252E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5" w:right="0" w:firstLine="0"/>
        <w:jc w:val="left"/>
      </w:pPr>
      <w:proofErr w:type="gramStart"/>
      <w:r w:rsidRPr="00661CC1">
        <w:t>pT0</w:t>
      </w:r>
      <w:proofErr w:type="gramEnd"/>
      <w:r w:rsidRPr="00661CC1">
        <w:t xml:space="preserve"> </w:t>
      </w:r>
      <w:r w:rsidRPr="00661CC1">
        <w:tab/>
        <w:t xml:space="preserve">No evidence of primary tumour </w:t>
      </w:r>
    </w:p>
    <w:p w14:paraId="55482848" w14:textId="77777777" w:rsidR="00661CC1" w:rsidRPr="00661CC1" w:rsidRDefault="00661CC1" w:rsidP="008A6507">
      <w:pPr>
        <w:tabs>
          <w:tab w:val="left" w:pos="993"/>
        </w:tabs>
        <w:spacing w:after="120" w:line="259" w:lineRule="auto"/>
        <w:ind w:left="1985" w:right="0" w:hanging="2155"/>
        <w:jc w:val="left"/>
      </w:pPr>
      <w:r>
        <w:tab/>
      </w:r>
      <w:proofErr w:type="gramStart"/>
      <w:r w:rsidRPr="00661CC1">
        <w:t>pT1a</w:t>
      </w:r>
      <w:proofErr w:type="gramEnd"/>
      <w:r w:rsidRPr="00661CC1">
        <w:t xml:space="preserve"> </w:t>
      </w:r>
      <w:r w:rsidRPr="00661CC1">
        <w:tab/>
        <w:t xml:space="preserve">Solitary tumour 2 cm or less in greatest dimension with or without vascular invasion </w:t>
      </w:r>
    </w:p>
    <w:p w14:paraId="4C3E3270" w14:textId="77777777" w:rsidR="00661CC1" w:rsidRPr="00661CC1" w:rsidRDefault="00661CC1" w:rsidP="008A6507">
      <w:pPr>
        <w:tabs>
          <w:tab w:val="left" w:pos="993"/>
          <w:tab w:val="left" w:pos="1985"/>
        </w:tabs>
        <w:spacing w:after="120" w:line="259" w:lineRule="auto"/>
        <w:ind w:left="5" w:right="0" w:firstLine="0"/>
        <w:jc w:val="left"/>
      </w:pPr>
      <w:r>
        <w:tab/>
      </w:r>
      <w:proofErr w:type="gramStart"/>
      <w:r w:rsidRPr="00661CC1">
        <w:t>pT1b</w:t>
      </w:r>
      <w:proofErr w:type="gramEnd"/>
      <w:r w:rsidRPr="00661CC1">
        <w:t xml:space="preserve"> </w:t>
      </w:r>
      <w:r w:rsidRPr="00661CC1">
        <w:tab/>
        <w:t>Solitary tumour more than 2 cm in greatest dimension without vascular invasion</w:t>
      </w:r>
    </w:p>
    <w:p w14:paraId="0921DC31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993" w:right="0" w:hanging="988"/>
        <w:jc w:val="left"/>
      </w:pPr>
      <w:proofErr w:type="gramStart"/>
      <w:r w:rsidRPr="00661CC1">
        <w:t>pT2</w:t>
      </w:r>
      <w:proofErr w:type="gramEnd"/>
      <w:r w:rsidRPr="00661CC1">
        <w:t xml:space="preserve"> </w:t>
      </w:r>
      <w:r w:rsidRPr="00661CC1">
        <w:tab/>
        <w:t>Solitary tumour with vascular invasion more than 2 cm dimension</w:t>
      </w:r>
      <w:r w:rsidR="00C17E34">
        <w:rPr>
          <w:b/>
        </w:rPr>
        <w:t xml:space="preserve"> or </w:t>
      </w:r>
      <w:r w:rsidRPr="00661CC1">
        <w:t>multiple tumours, none more than 5 cm in greatest dimension</w:t>
      </w:r>
    </w:p>
    <w:p w14:paraId="7308EDAF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5" w:right="0" w:firstLine="0"/>
        <w:jc w:val="left"/>
      </w:pPr>
      <w:proofErr w:type="gramStart"/>
      <w:r w:rsidRPr="00661CC1">
        <w:t>pT3</w:t>
      </w:r>
      <w:proofErr w:type="gramEnd"/>
      <w:r w:rsidRPr="00661CC1">
        <w:t xml:space="preserve"> </w:t>
      </w:r>
      <w:r w:rsidRPr="00661CC1">
        <w:tab/>
        <w:t>Multiple tumours any more than 5 cm in greatest dimension</w:t>
      </w:r>
    </w:p>
    <w:p w14:paraId="38934105" w14:textId="77777777" w:rsidR="00661CC1" w:rsidRPr="00661CC1" w:rsidRDefault="00661CC1" w:rsidP="000F5E9F">
      <w:pPr>
        <w:tabs>
          <w:tab w:val="left" w:pos="993"/>
        </w:tabs>
        <w:spacing w:after="0" w:line="247" w:lineRule="auto"/>
        <w:ind w:left="986" w:right="102" w:hanging="992"/>
        <w:jc w:val="left"/>
      </w:pPr>
      <w:r w:rsidRPr="00661CC1">
        <w:t xml:space="preserve">pT4 </w:t>
      </w:r>
      <w:r w:rsidRPr="00661CC1">
        <w:tab/>
      </w:r>
      <w:r>
        <w:tab/>
      </w:r>
      <w:r w:rsidRPr="00661CC1">
        <w:t xml:space="preserve">Single or multiple tumour(s) of any size involving a major branch of the portal or hepatic vein or tumour(s) with direct invasion of adjacent organs (including the diaphragm), other than the gallbladder </w:t>
      </w:r>
      <w:r w:rsidRPr="00C17E34">
        <w:rPr>
          <w:rStyle w:val="02Text"/>
          <w:b/>
          <w:i w:val="0"/>
        </w:rPr>
        <w:t>or</w:t>
      </w:r>
      <w:r w:rsidRPr="00C17E34">
        <w:rPr>
          <w:b/>
          <w:i/>
        </w:rPr>
        <w:t xml:space="preserve"> </w:t>
      </w:r>
      <w:r w:rsidRPr="00661CC1">
        <w:t>with perforation of visceral peritoneum</w:t>
      </w:r>
    </w:p>
    <w:p w14:paraId="04322CC5" w14:textId="77777777" w:rsidR="00661CC1" w:rsidRPr="00661CC1" w:rsidRDefault="00661CC1">
      <w:pPr>
        <w:spacing w:after="0" w:line="259" w:lineRule="auto"/>
        <w:ind w:left="0" w:right="0" w:firstLine="0"/>
        <w:jc w:val="left"/>
      </w:pPr>
    </w:p>
    <w:p w14:paraId="13EC2DC7" w14:textId="77777777" w:rsidR="0012010A" w:rsidRDefault="00661CC1">
      <w:pPr>
        <w:pStyle w:val="Heading6"/>
        <w:ind w:left="-5" w:right="0"/>
      </w:pPr>
      <w:r>
        <w:t>Intrahepatic cholangiocarcinoma</w:t>
      </w:r>
      <w:r w:rsidR="004370ED" w:rsidRPr="00661CC1">
        <w:t xml:space="preserve"> and </w:t>
      </w:r>
      <w:r w:rsidR="00AD3838" w:rsidRPr="00661CC1">
        <w:t xml:space="preserve">combined HCC/ICC </w:t>
      </w:r>
    </w:p>
    <w:p w14:paraId="66A4E536" w14:textId="77777777" w:rsidR="00661CC1" w:rsidRPr="00661CC1" w:rsidRDefault="00661CC1" w:rsidP="00661CC1"/>
    <w:p w14:paraId="5EFA321D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pT0</w:t>
      </w:r>
      <w:proofErr w:type="gramEnd"/>
      <w:r w:rsidRPr="00661CC1">
        <w:t xml:space="preserve"> </w:t>
      </w:r>
      <w:r w:rsidRPr="00661CC1">
        <w:tab/>
        <w:t xml:space="preserve">No evidence of primary tumour </w:t>
      </w:r>
    </w:p>
    <w:p w14:paraId="3F617926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pTis</w:t>
      </w:r>
      <w:proofErr w:type="gramEnd"/>
      <w:r w:rsidRPr="00661CC1">
        <w:t xml:space="preserve"> </w:t>
      </w:r>
      <w:r w:rsidRPr="00661CC1">
        <w:tab/>
        <w:t xml:space="preserve">Carcinoma </w:t>
      </w:r>
      <w:r w:rsidRPr="00F06531">
        <w:t>in situ</w:t>
      </w:r>
      <w:r w:rsidRPr="00661CC1">
        <w:rPr>
          <w:i/>
        </w:rPr>
        <w:t xml:space="preserve"> </w:t>
      </w:r>
      <w:r w:rsidRPr="00661CC1">
        <w:t>(</w:t>
      </w:r>
      <w:proofErr w:type="spellStart"/>
      <w:r w:rsidRPr="00661CC1">
        <w:t>intraductal</w:t>
      </w:r>
      <w:proofErr w:type="spellEnd"/>
      <w:r w:rsidRPr="00661CC1">
        <w:t xml:space="preserve"> tumour) </w:t>
      </w:r>
    </w:p>
    <w:p w14:paraId="19716EE3" w14:textId="77777777" w:rsidR="00661CC1" w:rsidRPr="00661CC1" w:rsidRDefault="00661CC1" w:rsidP="008A6507">
      <w:pPr>
        <w:tabs>
          <w:tab w:val="left" w:pos="993"/>
          <w:tab w:val="left" w:pos="1985"/>
        </w:tabs>
        <w:spacing w:after="120"/>
        <w:ind w:left="0"/>
        <w:jc w:val="left"/>
      </w:pPr>
      <w:r>
        <w:tab/>
      </w:r>
      <w:r>
        <w:tab/>
      </w:r>
      <w:proofErr w:type="gramStart"/>
      <w:r w:rsidRPr="00661CC1">
        <w:t>pT1a</w:t>
      </w:r>
      <w:proofErr w:type="gramEnd"/>
      <w:r w:rsidRPr="00661CC1">
        <w:t xml:space="preserve"> </w:t>
      </w:r>
      <w:r w:rsidRPr="00661CC1">
        <w:tab/>
        <w:t>Solitary tumour 5 cm or less in greatest dimension without vascular invasion</w:t>
      </w:r>
    </w:p>
    <w:p w14:paraId="2FB7CA44" w14:textId="77777777" w:rsidR="00661CC1" w:rsidRPr="00661CC1" w:rsidRDefault="00661CC1" w:rsidP="008A6507">
      <w:pPr>
        <w:tabs>
          <w:tab w:val="left" w:pos="993"/>
        </w:tabs>
        <w:spacing w:after="120"/>
        <w:ind w:left="1985" w:hanging="2170"/>
        <w:jc w:val="left"/>
      </w:pPr>
      <w:r>
        <w:tab/>
      </w:r>
      <w:proofErr w:type="gramStart"/>
      <w:r w:rsidRPr="00661CC1">
        <w:t>pT1b</w:t>
      </w:r>
      <w:proofErr w:type="gramEnd"/>
      <w:r w:rsidRPr="00661CC1">
        <w:t xml:space="preserve"> </w:t>
      </w:r>
      <w:r w:rsidRPr="00661CC1">
        <w:tab/>
        <w:t>Solitary tumour more than 5 cm in greatest dimension without vascular invasion</w:t>
      </w:r>
    </w:p>
    <w:p w14:paraId="38D75757" w14:textId="77777777" w:rsidR="00661CC1" w:rsidRPr="00661CC1" w:rsidRDefault="00661CC1" w:rsidP="00661CC1">
      <w:pPr>
        <w:tabs>
          <w:tab w:val="left" w:pos="993"/>
        </w:tabs>
        <w:spacing w:after="120"/>
        <w:ind w:left="993" w:hanging="1003"/>
        <w:jc w:val="left"/>
      </w:pPr>
      <w:proofErr w:type="gramStart"/>
      <w:r w:rsidRPr="00661CC1">
        <w:t>pT2</w:t>
      </w:r>
      <w:proofErr w:type="gramEnd"/>
      <w:r w:rsidRPr="00661CC1">
        <w:t xml:space="preserve"> </w:t>
      </w:r>
      <w:r w:rsidRPr="00661CC1">
        <w:tab/>
        <w:t xml:space="preserve">Solitary tumour with intrahepatic vascular invasion </w:t>
      </w:r>
      <w:r w:rsidRPr="00F06531">
        <w:rPr>
          <w:rStyle w:val="02Text"/>
          <w:b/>
          <w:i w:val="0"/>
        </w:rPr>
        <w:t>or</w:t>
      </w:r>
      <w:r w:rsidRPr="00661CC1">
        <w:t xml:space="preserve"> multiple tumours, with or without vascular invasion</w:t>
      </w:r>
    </w:p>
    <w:p w14:paraId="383E66C5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pT3</w:t>
      </w:r>
      <w:proofErr w:type="gramEnd"/>
      <w:r w:rsidRPr="00661CC1">
        <w:t xml:space="preserve"> </w:t>
      </w:r>
      <w:r w:rsidRPr="00661CC1">
        <w:tab/>
        <w:t>Tumour perforating the visceral peritoneum</w:t>
      </w:r>
    </w:p>
    <w:p w14:paraId="4CF955F4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pT4</w:t>
      </w:r>
      <w:proofErr w:type="gramEnd"/>
      <w:r w:rsidRPr="00661CC1">
        <w:t xml:space="preserve"> </w:t>
      </w:r>
      <w:r w:rsidRPr="00661CC1">
        <w:tab/>
        <w:t>Tumour involving local extrahepatic structures by direct hepatic invasion</w:t>
      </w:r>
    </w:p>
    <w:p w14:paraId="146348EF" w14:textId="77777777" w:rsidR="00661CC1" w:rsidRDefault="00C30C75">
      <w:pPr>
        <w:spacing w:after="0" w:line="259" w:lineRule="auto"/>
        <w:ind w:left="0" w:right="0" w:firstLine="0"/>
        <w:jc w:val="left"/>
      </w:pPr>
      <w:r w:rsidRPr="00661CC1">
        <w:t xml:space="preserve"> </w:t>
      </w:r>
    </w:p>
    <w:p w14:paraId="3FF1C3C1" w14:textId="77777777" w:rsidR="00661CC1" w:rsidRDefault="00661CC1">
      <w:pPr>
        <w:spacing w:after="0" w:line="259" w:lineRule="auto"/>
        <w:ind w:left="0" w:right="0" w:firstLine="0"/>
        <w:jc w:val="left"/>
      </w:pPr>
    </w:p>
    <w:p w14:paraId="38EF8F2B" w14:textId="77777777" w:rsidR="00661CC1" w:rsidRDefault="00661CC1">
      <w:pPr>
        <w:spacing w:after="0" w:line="259" w:lineRule="auto"/>
        <w:ind w:left="0" w:right="0" w:firstLine="0"/>
        <w:jc w:val="left"/>
      </w:pPr>
    </w:p>
    <w:p w14:paraId="5954261B" w14:textId="77777777" w:rsidR="00661CC1" w:rsidRDefault="00661CC1">
      <w:pPr>
        <w:spacing w:after="0" w:line="259" w:lineRule="auto"/>
        <w:ind w:left="0" w:right="0" w:firstLine="0"/>
        <w:jc w:val="left"/>
      </w:pPr>
    </w:p>
    <w:p w14:paraId="0C46D093" w14:textId="77777777" w:rsidR="0012010A" w:rsidRDefault="00C30C75">
      <w:pPr>
        <w:pStyle w:val="Heading6"/>
        <w:ind w:left="-5" w:right="0"/>
      </w:pPr>
      <w:proofErr w:type="spellStart"/>
      <w:r w:rsidRPr="00661CC1">
        <w:lastRenderedPageBreak/>
        <w:t>Perihilar</w:t>
      </w:r>
      <w:proofErr w:type="spellEnd"/>
      <w:r w:rsidRPr="00661CC1">
        <w:t xml:space="preserve"> cholangiocarcinoma </w:t>
      </w:r>
    </w:p>
    <w:p w14:paraId="13BC470F" w14:textId="77777777" w:rsidR="00661CC1" w:rsidRPr="00661CC1" w:rsidRDefault="00661CC1" w:rsidP="00661CC1"/>
    <w:p w14:paraId="38FED202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pT0</w:t>
      </w:r>
      <w:proofErr w:type="gramEnd"/>
      <w:r w:rsidRPr="00661CC1">
        <w:t xml:space="preserve"> </w:t>
      </w:r>
      <w:r w:rsidRPr="00661CC1">
        <w:tab/>
        <w:t xml:space="preserve">No evidence of primary tumour </w:t>
      </w:r>
    </w:p>
    <w:p w14:paraId="22CB5C1D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pTis</w:t>
      </w:r>
      <w:proofErr w:type="gramEnd"/>
      <w:r w:rsidRPr="00661CC1">
        <w:t xml:space="preserve"> </w:t>
      </w:r>
      <w:r w:rsidRPr="00661CC1">
        <w:tab/>
        <w:t>Carcinoma in situ</w:t>
      </w:r>
      <w:r w:rsidRPr="00661CC1">
        <w:rPr>
          <w:i/>
        </w:rPr>
        <w:t xml:space="preserve"> </w:t>
      </w:r>
      <w:r w:rsidRPr="00661CC1">
        <w:t xml:space="preserve"> </w:t>
      </w:r>
    </w:p>
    <w:p w14:paraId="6E997FA7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pT1</w:t>
      </w:r>
      <w:proofErr w:type="gramEnd"/>
      <w:r w:rsidRPr="00661CC1">
        <w:t xml:space="preserve"> </w:t>
      </w:r>
      <w:r w:rsidRPr="00661CC1">
        <w:tab/>
        <w:t xml:space="preserve">Tumour confined to the bile duct, with extension up to the muscle layer or fibrous tissue </w:t>
      </w:r>
    </w:p>
    <w:p w14:paraId="11C30F93" w14:textId="77777777" w:rsidR="00661CC1" w:rsidRPr="00661CC1" w:rsidRDefault="00661CC1" w:rsidP="008A6507">
      <w:pPr>
        <w:tabs>
          <w:tab w:val="left" w:pos="993"/>
          <w:tab w:val="left" w:pos="1985"/>
        </w:tabs>
        <w:spacing w:after="120" w:line="259" w:lineRule="auto"/>
        <w:ind w:left="0" w:right="0" w:firstLine="0"/>
        <w:jc w:val="left"/>
      </w:pPr>
      <w:r>
        <w:tab/>
      </w:r>
      <w:proofErr w:type="gramStart"/>
      <w:r w:rsidRPr="00661CC1">
        <w:t>pT2a</w:t>
      </w:r>
      <w:proofErr w:type="gramEnd"/>
      <w:r w:rsidRPr="00661CC1">
        <w:t xml:space="preserve"> </w:t>
      </w:r>
      <w:r w:rsidRPr="00661CC1">
        <w:tab/>
        <w:t xml:space="preserve">Tumour invades beyond the wall of the bile duct to surrounding adipose tissue </w:t>
      </w:r>
    </w:p>
    <w:p w14:paraId="03392F15" w14:textId="77777777" w:rsidR="00661CC1" w:rsidRPr="00661CC1" w:rsidRDefault="00661CC1" w:rsidP="008A6507">
      <w:pPr>
        <w:tabs>
          <w:tab w:val="left" w:pos="993"/>
          <w:tab w:val="left" w:pos="1985"/>
        </w:tabs>
        <w:spacing w:after="120" w:line="259" w:lineRule="auto"/>
        <w:ind w:left="0" w:right="0" w:firstLine="0"/>
        <w:jc w:val="left"/>
      </w:pPr>
      <w:r>
        <w:tab/>
      </w:r>
      <w:proofErr w:type="gramStart"/>
      <w:r w:rsidRPr="00661CC1">
        <w:t>pT2b</w:t>
      </w:r>
      <w:proofErr w:type="gramEnd"/>
      <w:r w:rsidRPr="00661CC1">
        <w:t xml:space="preserve"> </w:t>
      </w:r>
      <w:r w:rsidRPr="00661CC1">
        <w:tab/>
        <w:t xml:space="preserve">Tumour invades adjacent hepatic parenchyma </w:t>
      </w:r>
    </w:p>
    <w:p w14:paraId="43CFE057" w14:textId="77777777" w:rsidR="00661CC1" w:rsidRPr="00661CC1" w:rsidRDefault="00661CC1" w:rsidP="00661CC1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pT3</w:t>
      </w:r>
      <w:proofErr w:type="gramEnd"/>
      <w:r w:rsidRPr="00661CC1">
        <w:t xml:space="preserve"> </w:t>
      </w:r>
      <w:r w:rsidRPr="00661CC1">
        <w:tab/>
        <w:t xml:space="preserve">Tumour invades unilateral branches of the portal vein or hepatic artery </w:t>
      </w:r>
    </w:p>
    <w:p w14:paraId="18DE4DCA" w14:textId="77777777" w:rsidR="00661CC1" w:rsidRPr="00661CC1" w:rsidRDefault="00661CC1" w:rsidP="000F5E9F">
      <w:pPr>
        <w:tabs>
          <w:tab w:val="left" w:pos="993"/>
        </w:tabs>
        <w:spacing w:after="0" w:line="247" w:lineRule="auto"/>
        <w:ind w:left="993" w:right="102" w:hanging="1004"/>
        <w:jc w:val="left"/>
      </w:pPr>
      <w:r w:rsidRPr="00661CC1">
        <w:t xml:space="preserve">PT4 </w:t>
      </w:r>
      <w:r w:rsidRPr="00661CC1">
        <w:tab/>
        <w:t xml:space="preserve">Tumour invades the main portal vein or its </w:t>
      </w:r>
      <w:r w:rsidR="00F06531">
        <w:t>branches bilaterally</w:t>
      </w:r>
      <w:r w:rsidRPr="00661CC1">
        <w:t xml:space="preserve"> </w:t>
      </w:r>
      <w:r w:rsidRPr="00F06531">
        <w:rPr>
          <w:b/>
        </w:rPr>
        <w:t>or</w:t>
      </w:r>
      <w:r w:rsidR="00F06531">
        <w:t xml:space="preserve"> the common hepatic artery</w:t>
      </w:r>
      <w:r w:rsidRPr="00661CC1">
        <w:t xml:space="preserve"> </w:t>
      </w:r>
      <w:r w:rsidRPr="00F06531">
        <w:rPr>
          <w:b/>
        </w:rPr>
        <w:t>or</w:t>
      </w:r>
      <w:r w:rsidRPr="00661CC1">
        <w:t xml:space="preserve"> unilateral second</w:t>
      </w:r>
      <w:r w:rsidRPr="00661CC1">
        <w:rPr>
          <w:rFonts w:ascii="Cambria Math" w:hAnsi="Cambria Math" w:cs="Cambria Math"/>
        </w:rPr>
        <w:t>‐</w:t>
      </w:r>
      <w:r w:rsidRPr="00661CC1">
        <w:t xml:space="preserve">order biliary radicals with contralateral portal vein </w:t>
      </w:r>
      <w:r w:rsidRPr="00F06531">
        <w:rPr>
          <w:b/>
        </w:rPr>
        <w:t>or</w:t>
      </w:r>
      <w:r w:rsidRPr="00661CC1">
        <w:t xml:space="preserve"> hepatic artery involvement</w:t>
      </w:r>
    </w:p>
    <w:p w14:paraId="235B033E" w14:textId="77777777" w:rsidR="00661CC1" w:rsidRPr="00661CC1" w:rsidRDefault="00C30C75">
      <w:pPr>
        <w:spacing w:after="0" w:line="259" w:lineRule="auto"/>
        <w:ind w:left="0" w:right="0" w:firstLine="0"/>
        <w:jc w:val="left"/>
        <w:rPr>
          <w:b/>
        </w:rPr>
      </w:pPr>
      <w:r w:rsidRPr="00661CC1">
        <w:rPr>
          <w:b/>
        </w:rPr>
        <w:t xml:space="preserve"> </w:t>
      </w:r>
    </w:p>
    <w:p w14:paraId="75983896" w14:textId="77777777" w:rsidR="0012010A" w:rsidRDefault="00C30C75">
      <w:pPr>
        <w:pStyle w:val="Heading6"/>
        <w:ind w:left="-5" w:right="0"/>
      </w:pPr>
      <w:r w:rsidRPr="00661CC1">
        <w:t xml:space="preserve">Gall bladder carcinoma </w:t>
      </w:r>
    </w:p>
    <w:p w14:paraId="6BBFD53D" w14:textId="77777777" w:rsidR="00661CC1" w:rsidRPr="00661CC1" w:rsidRDefault="00661CC1" w:rsidP="00661CC1"/>
    <w:p w14:paraId="39648404" w14:textId="77777777" w:rsidR="00661CC1" w:rsidRPr="00661CC1" w:rsidRDefault="00661CC1" w:rsidP="00037336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pT0</w:t>
      </w:r>
      <w:proofErr w:type="gramEnd"/>
      <w:r w:rsidRPr="00661CC1">
        <w:t xml:space="preserve"> </w:t>
      </w:r>
      <w:r w:rsidRPr="00661CC1">
        <w:tab/>
        <w:t xml:space="preserve">No evidence of primary tumour </w:t>
      </w:r>
    </w:p>
    <w:p w14:paraId="602954DC" w14:textId="493B382B" w:rsidR="00661CC1" w:rsidRPr="00661CC1" w:rsidRDefault="00661CC1" w:rsidP="00037336">
      <w:pPr>
        <w:tabs>
          <w:tab w:val="left" w:pos="993"/>
        </w:tabs>
        <w:spacing w:after="120" w:line="259" w:lineRule="auto"/>
        <w:ind w:left="0" w:right="0" w:firstLine="0"/>
        <w:jc w:val="left"/>
      </w:pPr>
      <w:proofErr w:type="gramStart"/>
      <w:r w:rsidRPr="00661CC1">
        <w:t>pTis</w:t>
      </w:r>
      <w:proofErr w:type="gramEnd"/>
      <w:r w:rsidRPr="00661CC1">
        <w:t xml:space="preserve"> </w:t>
      </w:r>
      <w:r w:rsidRPr="00661CC1">
        <w:tab/>
        <w:t xml:space="preserve">Carcinoma in </w:t>
      </w:r>
      <w:r w:rsidRPr="00F06531">
        <w:t>situ</w:t>
      </w:r>
      <w:r w:rsidR="00F06531" w:rsidRPr="00F06531">
        <w:t>,</w:t>
      </w:r>
      <w:r w:rsidR="00F06531">
        <w:t xml:space="preserve"> </w:t>
      </w:r>
      <w:r w:rsidRPr="00F06531">
        <w:rPr>
          <w:iCs/>
        </w:rPr>
        <w:t>BilI</w:t>
      </w:r>
      <w:r w:rsidR="00037336">
        <w:rPr>
          <w:iCs/>
        </w:rPr>
        <w:t>N3</w:t>
      </w:r>
      <w:r w:rsidR="00AD0F50">
        <w:rPr>
          <w:iCs/>
        </w:rPr>
        <w:t>,</w:t>
      </w:r>
      <w:r w:rsidR="008A6507">
        <w:rPr>
          <w:iCs/>
        </w:rPr>
        <w:t xml:space="preserve"> high-</w:t>
      </w:r>
      <w:r w:rsidRPr="00661CC1">
        <w:rPr>
          <w:iCs/>
        </w:rPr>
        <w:t>grade dysplasia</w:t>
      </w:r>
    </w:p>
    <w:p w14:paraId="2CA959BC" w14:textId="77777777" w:rsidR="00661CC1" w:rsidRPr="00661CC1" w:rsidRDefault="00661CC1" w:rsidP="008A6507">
      <w:pPr>
        <w:tabs>
          <w:tab w:val="left" w:pos="993"/>
          <w:tab w:val="left" w:pos="1985"/>
        </w:tabs>
        <w:spacing w:after="120" w:line="259" w:lineRule="auto"/>
        <w:ind w:left="0" w:right="0" w:firstLine="0"/>
        <w:jc w:val="left"/>
      </w:pPr>
      <w:r>
        <w:tab/>
      </w:r>
      <w:proofErr w:type="gramStart"/>
      <w:r w:rsidRPr="00661CC1">
        <w:t>pT1a</w:t>
      </w:r>
      <w:proofErr w:type="gramEnd"/>
      <w:r w:rsidRPr="00661CC1">
        <w:t xml:space="preserve"> </w:t>
      </w:r>
      <w:r w:rsidRPr="00661CC1">
        <w:tab/>
        <w:t xml:space="preserve">Tumour invades lamina </w:t>
      </w:r>
      <w:proofErr w:type="spellStart"/>
      <w:r w:rsidRPr="00661CC1">
        <w:t>propria</w:t>
      </w:r>
      <w:proofErr w:type="spellEnd"/>
      <w:r w:rsidRPr="00661CC1">
        <w:t xml:space="preserve"> </w:t>
      </w:r>
    </w:p>
    <w:p w14:paraId="77E444A8" w14:textId="77777777" w:rsidR="00661CC1" w:rsidRPr="00661CC1" w:rsidRDefault="00661CC1" w:rsidP="008A6507">
      <w:pPr>
        <w:tabs>
          <w:tab w:val="left" w:pos="993"/>
          <w:tab w:val="left" w:pos="1985"/>
        </w:tabs>
        <w:spacing w:after="120" w:line="259" w:lineRule="auto"/>
        <w:ind w:left="0" w:right="0" w:firstLine="0"/>
        <w:jc w:val="left"/>
      </w:pPr>
      <w:r>
        <w:tab/>
      </w:r>
      <w:proofErr w:type="gramStart"/>
      <w:r w:rsidRPr="00661CC1">
        <w:t>pT1b</w:t>
      </w:r>
      <w:proofErr w:type="gramEnd"/>
      <w:r w:rsidRPr="00661CC1">
        <w:t xml:space="preserve"> </w:t>
      </w:r>
      <w:r w:rsidRPr="00661CC1">
        <w:tab/>
        <w:t xml:space="preserve">Tumour invades muscular layer </w:t>
      </w:r>
    </w:p>
    <w:p w14:paraId="0B2AC630" w14:textId="77777777" w:rsidR="00661CC1" w:rsidRPr="00661CC1" w:rsidRDefault="00661CC1" w:rsidP="008A6507">
      <w:pPr>
        <w:tabs>
          <w:tab w:val="left" w:pos="993"/>
          <w:tab w:val="left" w:pos="1985"/>
        </w:tabs>
        <w:spacing w:after="120" w:line="259" w:lineRule="auto"/>
        <w:ind w:left="1985" w:right="0" w:hanging="1985"/>
        <w:jc w:val="left"/>
      </w:pPr>
      <w:r>
        <w:tab/>
      </w:r>
      <w:proofErr w:type="gramStart"/>
      <w:r w:rsidRPr="00661CC1">
        <w:t>pT2a</w:t>
      </w:r>
      <w:proofErr w:type="gramEnd"/>
      <w:r w:rsidRPr="00661CC1">
        <w:t xml:space="preserve"> </w:t>
      </w:r>
      <w:r w:rsidRPr="00661CC1">
        <w:tab/>
        <w:t xml:space="preserve">Tumour invades </w:t>
      </w:r>
      <w:proofErr w:type="spellStart"/>
      <w:r w:rsidRPr="00661CC1">
        <w:t>perimuscular</w:t>
      </w:r>
      <w:proofErr w:type="spellEnd"/>
      <w:r w:rsidRPr="00661CC1">
        <w:t xml:space="preserve"> connective tissue on the peritoneal side with no extension to the serosa</w:t>
      </w:r>
    </w:p>
    <w:p w14:paraId="0301DB4F" w14:textId="0CC540AD" w:rsidR="00661CC1" w:rsidRPr="00661CC1" w:rsidRDefault="00037336" w:rsidP="008A6507">
      <w:pPr>
        <w:tabs>
          <w:tab w:val="left" w:pos="993"/>
        </w:tabs>
        <w:spacing w:after="120" w:line="259" w:lineRule="auto"/>
        <w:ind w:left="1985" w:right="0" w:hanging="2160"/>
        <w:jc w:val="left"/>
      </w:pPr>
      <w:r>
        <w:tab/>
      </w:r>
      <w:proofErr w:type="gramStart"/>
      <w:r w:rsidR="00661CC1" w:rsidRPr="00661CC1">
        <w:t>pT2b</w:t>
      </w:r>
      <w:proofErr w:type="gramEnd"/>
      <w:r w:rsidR="00661CC1" w:rsidRPr="00661CC1">
        <w:tab/>
        <w:t xml:space="preserve">Tumour invades </w:t>
      </w:r>
      <w:proofErr w:type="spellStart"/>
      <w:r w:rsidR="00661CC1" w:rsidRPr="00661CC1">
        <w:t>perimuscular</w:t>
      </w:r>
      <w:proofErr w:type="spellEnd"/>
      <w:r w:rsidR="00661CC1" w:rsidRPr="00661CC1">
        <w:t xml:space="preserve"> connective tissue on the hepatic side with no </w:t>
      </w:r>
      <w:proofErr w:type="spellStart"/>
      <w:r w:rsidR="00661CC1" w:rsidRPr="00661CC1">
        <w:t>ext</w:t>
      </w:r>
      <w:r w:rsidR="008A6507">
        <w:t>i</w:t>
      </w:r>
      <w:r w:rsidR="00661CC1" w:rsidRPr="00661CC1">
        <w:t>ension</w:t>
      </w:r>
      <w:proofErr w:type="spellEnd"/>
      <w:r w:rsidR="00661CC1" w:rsidRPr="00661CC1">
        <w:t xml:space="preserve"> into the liver</w:t>
      </w:r>
    </w:p>
    <w:p w14:paraId="79471E31" w14:textId="77777777" w:rsidR="00661CC1" w:rsidRPr="00661CC1" w:rsidRDefault="00661CC1" w:rsidP="00037336">
      <w:pPr>
        <w:tabs>
          <w:tab w:val="left" w:pos="993"/>
        </w:tabs>
        <w:spacing w:after="120" w:line="259" w:lineRule="auto"/>
        <w:ind w:left="990" w:right="0" w:hanging="990"/>
        <w:jc w:val="left"/>
      </w:pPr>
      <w:proofErr w:type="gramStart"/>
      <w:r w:rsidRPr="00661CC1">
        <w:t>pT3</w:t>
      </w:r>
      <w:proofErr w:type="gramEnd"/>
      <w:r w:rsidRPr="00661CC1">
        <w:t xml:space="preserve"> </w:t>
      </w:r>
      <w:r w:rsidRPr="00661CC1">
        <w:tab/>
        <w:t xml:space="preserve">Tumour perforates the serosa (visceral peritoneum) and/or directly invades the liver and/or one other adjacent organ or structure, such as the stomach, duodenum, colon, pancreas, </w:t>
      </w:r>
      <w:proofErr w:type="spellStart"/>
      <w:r w:rsidR="00F06531">
        <w:t>omentum</w:t>
      </w:r>
      <w:proofErr w:type="spellEnd"/>
      <w:r w:rsidRPr="00661CC1">
        <w:t xml:space="preserve"> or extra-hepatic bile ducts </w:t>
      </w:r>
    </w:p>
    <w:p w14:paraId="385E3C5C" w14:textId="77777777" w:rsidR="00661CC1" w:rsidRPr="00661CC1" w:rsidRDefault="00661CC1" w:rsidP="000F5E9F">
      <w:pPr>
        <w:tabs>
          <w:tab w:val="left" w:pos="993"/>
        </w:tabs>
        <w:spacing w:after="0" w:line="259" w:lineRule="auto"/>
        <w:ind w:left="992" w:right="0" w:hanging="992"/>
        <w:jc w:val="left"/>
      </w:pPr>
      <w:r w:rsidRPr="00661CC1">
        <w:t xml:space="preserve">PT4 </w:t>
      </w:r>
      <w:r w:rsidRPr="00661CC1">
        <w:tab/>
        <w:t>Tumour invades mai</w:t>
      </w:r>
      <w:r w:rsidR="00F06531">
        <w:t>n portal vein or hepatic artery</w:t>
      </w:r>
      <w:r w:rsidRPr="00F06531">
        <w:rPr>
          <w:b/>
        </w:rPr>
        <w:t xml:space="preserve"> or </w:t>
      </w:r>
      <w:r w:rsidRPr="00661CC1">
        <w:t>invades two or more extrahepatic organs or structures.</w:t>
      </w:r>
      <w:r w:rsidRPr="00661CC1">
        <w:rPr>
          <w:b/>
        </w:rPr>
        <w:t xml:space="preserve"> </w:t>
      </w:r>
    </w:p>
    <w:p w14:paraId="123E57E3" w14:textId="77777777" w:rsidR="0012010A" w:rsidRDefault="00C30C75">
      <w:pPr>
        <w:spacing w:after="0" w:line="259" w:lineRule="auto"/>
        <w:ind w:left="0" w:right="0" w:firstLine="0"/>
        <w:jc w:val="left"/>
        <w:rPr>
          <w:b/>
        </w:rPr>
      </w:pPr>
      <w:r w:rsidRPr="00661CC1">
        <w:rPr>
          <w:b/>
        </w:rPr>
        <w:t xml:space="preserve"> </w:t>
      </w:r>
    </w:p>
    <w:p w14:paraId="7CBE575C" w14:textId="77777777" w:rsidR="00661CC1" w:rsidRPr="00661CC1" w:rsidRDefault="00661CC1">
      <w:pPr>
        <w:spacing w:after="0" w:line="259" w:lineRule="auto"/>
        <w:ind w:left="0" w:right="0" w:firstLine="0"/>
        <w:jc w:val="left"/>
      </w:pPr>
    </w:p>
    <w:p w14:paraId="2D2A5198" w14:textId="77777777" w:rsidR="00037336" w:rsidRPr="00B3519C" w:rsidRDefault="00C30C75" w:rsidP="00037336">
      <w:pPr>
        <w:spacing w:after="0" w:line="247" w:lineRule="auto"/>
        <w:ind w:left="-15" w:right="231" w:firstLine="0"/>
        <w:jc w:val="left"/>
        <w:rPr>
          <w:b/>
          <w:sz w:val="24"/>
          <w:szCs w:val="24"/>
        </w:rPr>
      </w:pPr>
      <w:r w:rsidRPr="00B3519C">
        <w:rPr>
          <w:b/>
          <w:sz w:val="24"/>
          <w:szCs w:val="24"/>
        </w:rPr>
        <w:t>Regional lymph nodes</w:t>
      </w:r>
      <w:r w:rsidR="00037336" w:rsidRPr="00B3519C">
        <w:rPr>
          <w:b/>
          <w:sz w:val="24"/>
          <w:szCs w:val="24"/>
        </w:rPr>
        <w:t xml:space="preserve"> (pN) </w:t>
      </w:r>
    </w:p>
    <w:p w14:paraId="4B8900B8" w14:textId="77777777" w:rsidR="00037336" w:rsidRDefault="00037336" w:rsidP="00037336">
      <w:pPr>
        <w:spacing w:after="0" w:line="247" w:lineRule="auto"/>
        <w:ind w:left="-15" w:right="231" w:firstLine="0"/>
        <w:jc w:val="left"/>
        <w:rPr>
          <w:b/>
        </w:rPr>
      </w:pPr>
    </w:p>
    <w:p w14:paraId="61ED7E24" w14:textId="77777777" w:rsidR="00BD331D" w:rsidRDefault="00037336" w:rsidP="00037336">
      <w:pPr>
        <w:spacing w:after="0" w:line="247" w:lineRule="auto"/>
        <w:ind w:left="-15" w:right="231" w:firstLine="0"/>
        <w:jc w:val="left"/>
        <w:rPr>
          <w:b/>
        </w:rPr>
      </w:pPr>
      <w:r>
        <w:rPr>
          <w:b/>
        </w:rPr>
        <w:t>H</w:t>
      </w:r>
      <w:r w:rsidR="00D4721B" w:rsidRPr="00661CC1">
        <w:rPr>
          <w:b/>
        </w:rPr>
        <w:t>epatocellular carcinoma</w:t>
      </w:r>
      <w:r w:rsidR="002A2D1A" w:rsidRPr="00661CC1">
        <w:rPr>
          <w:b/>
        </w:rPr>
        <w:t>/intrahepatic cholangiocarcinoma</w:t>
      </w:r>
    </w:p>
    <w:p w14:paraId="6F0D091C" w14:textId="77777777" w:rsidR="00037336" w:rsidRPr="00661CC1" w:rsidRDefault="00037336" w:rsidP="00037336">
      <w:pPr>
        <w:spacing w:after="0" w:line="247" w:lineRule="auto"/>
        <w:ind w:left="-15" w:right="231" w:firstLine="0"/>
        <w:jc w:val="left"/>
        <w:rPr>
          <w:b/>
        </w:rPr>
      </w:pPr>
    </w:p>
    <w:p w14:paraId="622375CD" w14:textId="77777777" w:rsidR="00BD331D" w:rsidRPr="00661CC1" w:rsidRDefault="00C30C75" w:rsidP="00037336">
      <w:pPr>
        <w:spacing w:after="120" w:line="247" w:lineRule="auto"/>
        <w:ind w:left="993" w:right="231" w:hanging="1008"/>
        <w:jc w:val="left"/>
      </w:pPr>
      <w:proofErr w:type="spellStart"/>
      <w:proofErr w:type="gramStart"/>
      <w:r w:rsidRPr="00661CC1">
        <w:t>pNx</w:t>
      </w:r>
      <w:proofErr w:type="spellEnd"/>
      <w:proofErr w:type="gramEnd"/>
      <w:r w:rsidRPr="00661CC1">
        <w:t xml:space="preserve"> </w:t>
      </w:r>
      <w:r w:rsidRPr="00661CC1">
        <w:tab/>
        <w:t xml:space="preserve">Regional lymph nodes cannot be assessed </w:t>
      </w:r>
    </w:p>
    <w:p w14:paraId="056B126B" w14:textId="77777777" w:rsidR="00BD331D" w:rsidRPr="00661CC1" w:rsidRDefault="00C30C75" w:rsidP="00037336">
      <w:pPr>
        <w:spacing w:after="120" w:line="247" w:lineRule="auto"/>
        <w:ind w:left="993" w:right="231" w:hanging="1008"/>
        <w:jc w:val="left"/>
      </w:pPr>
      <w:proofErr w:type="gramStart"/>
      <w:r w:rsidRPr="00661CC1">
        <w:t>pN0</w:t>
      </w:r>
      <w:proofErr w:type="gramEnd"/>
      <w:r w:rsidRPr="00661CC1">
        <w:t xml:space="preserve"> </w:t>
      </w:r>
      <w:r w:rsidRPr="00661CC1">
        <w:tab/>
        <w:t xml:space="preserve">No </w:t>
      </w:r>
      <w:r w:rsidR="00037336">
        <w:t>regional lymph node metastases</w:t>
      </w:r>
    </w:p>
    <w:p w14:paraId="77AE3748" w14:textId="77777777" w:rsidR="00BD331D" w:rsidRPr="00661CC1" w:rsidRDefault="00BD331D" w:rsidP="00037336">
      <w:pPr>
        <w:spacing w:after="120" w:line="247" w:lineRule="auto"/>
        <w:ind w:left="993" w:right="231" w:hanging="1008"/>
        <w:jc w:val="left"/>
      </w:pPr>
      <w:proofErr w:type="gramStart"/>
      <w:r w:rsidRPr="00661CC1">
        <w:t>pN1</w:t>
      </w:r>
      <w:proofErr w:type="gramEnd"/>
      <w:r w:rsidRPr="00661CC1">
        <w:t xml:space="preserve"> </w:t>
      </w:r>
      <w:r w:rsidR="00037336">
        <w:tab/>
        <w:t>Regional lymph node metastasis</w:t>
      </w:r>
    </w:p>
    <w:p w14:paraId="718BCFFF" w14:textId="77777777" w:rsidR="002A2D1A" w:rsidRPr="00661CC1" w:rsidRDefault="002A2D1A">
      <w:pPr>
        <w:spacing w:after="108" w:line="247" w:lineRule="auto"/>
        <w:ind w:left="-15" w:right="231" w:firstLine="0"/>
        <w:jc w:val="left"/>
      </w:pPr>
    </w:p>
    <w:p w14:paraId="1BB759CF" w14:textId="77777777" w:rsidR="00037336" w:rsidRDefault="00037336" w:rsidP="002A2D1A">
      <w:pPr>
        <w:spacing w:after="108" w:line="247" w:lineRule="auto"/>
        <w:ind w:left="-15" w:right="231" w:firstLine="0"/>
        <w:jc w:val="left"/>
        <w:rPr>
          <w:b/>
        </w:rPr>
      </w:pPr>
    </w:p>
    <w:p w14:paraId="63FD0A87" w14:textId="77777777" w:rsidR="00037336" w:rsidRDefault="00037336" w:rsidP="002A2D1A">
      <w:pPr>
        <w:spacing w:after="108" w:line="247" w:lineRule="auto"/>
        <w:ind w:left="-15" w:right="231" w:firstLine="0"/>
        <w:jc w:val="left"/>
        <w:rPr>
          <w:b/>
        </w:rPr>
      </w:pPr>
    </w:p>
    <w:p w14:paraId="7D89BCF3" w14:textId="77777777" w:rsidR="00037336" w:rsidRDefault="00037336" w:rsidP="002A2D1A">
      <w:pPr>
        <w:spacing w:after="108" w:line="247" w:lineRule="auto"/>
        <w:ind w:left="-15" w:right="231" w:firstLine="0"/>
        <w:jc w:val="left"/>
        <w:rPr>
          <w:b/>
        </w:rPr>
      </w:pPr>
    </w:p>
    <w:p w14:paraId="5E23C238" w14:textId="77777777" w:rsidR="000F5E9F" w:rsidRDefault="000F5E9F" w:rsidP="002A2D1A">
      <w:pPr>
        <w:spacing w:after="108" w:line="247" w:lineRule="auto"/>
        <w:ind w:left="-15" w:right="231" w:firstLine="0"/>
        <w:jc w:val="left"/>
        <w:rPr>
          <w:b/>
        </w:rPr>
      </w:pPr>
    </w:p>
    <w:p w14:paraId="2822A34D" w14:textId="064ED769" w:rsidR="002A2D1A" w:rsidRDefault="00037336" w:rsidP="00037336">
      <w:pPr>
        <w:spacing w:after="0" w:line="247" w:lineRule="auto"/>
        <w:ind w:left="-15" w:right="231" w:firstLine="0"/>
        <w:jc w:val="left"/>
        <w:rPr>
          <w:b/>
        </w:rPr>
      </w:pPr>
      <w:r>
        <w:rPr>
          <w:b/>
        </w:rPr>
        <w:lastRenderedPageBreak/>
        <w:t>G</w:t>
      </w:r>
      <w:r w:rsidR="002A2D1A" w:rsidRPr="00661CC1">
        <w:rPr>
          <w:b/>
        </w:rPr>
        <w:t>allbladder/</w:t>
      </w:r>
      <w:proofErr w:type="spellStart"/>
      <w:r w:rsidR="002A2D1A" w:rsidRPr="00661CC1">
        <w:rPr>
          <w:b/>
        </w:rPr>
        <w:t>per</w:t>
      </w:r>
      <w:r w:rsidR="008A6507">
        <w:rPr>
          <w:b/>
        </w:rPr>
        <w:t>i</w:t>
      </w:r>
      <w:r w:rsidR="002A2D1A" w:rsidRPr="00661CC1">
        <w:rPr>
          <w:b/>
        </w:rPr>
        <w:t>hilar</w:t>
      </w:r>
      <w:proofErr w:type="spellEnd"/>
      <w:r w:rsidR="002A2D1A" w:rsidRPr="00661CC1">
        <w:rPr>
          <w:b/>
        </w:rPr>
        <w:t xml:space="preserve"> bile ducts</w:t>
      </w:r>
    </w:p>
    <w:p w14:paraId="53DF7F89" w14:textId="77777777" w:rsidR="00037336" w:rsidRPr="00661CC1" w:rsidRDefault="00037336" w:rsidP="00037336">
      <w:pPr>
        <w:spacing w:after="0" w:line="247" w:lineRule="auto"/>
        <w:ind w:left="-15" w:right="231" w:firstLine="0"/>
        <w:jc w:val="left"/>
        <w:rPr>
          <w:b/>
        </w:rPr>
      </w:pPr>
    </w:p>
    <w:p w14:paraId="402C9E4F" w14:textId="77777777" w:rsidR="002A2D1A" w:rsidRPr="00661CC1" w:rsidRDefault="002A2D1A" w:rsidP="00037336">
      <w:pPr>
        <w:spacing w:after="120" w:line="247" w:lineRule="auto"/>
        <w:ind w:left="993" w:right="231" w:hanging="1008"/>
        <w:jc w:val="left"/>
      </w:pPr>
      <w:proofErr w:type="spellStart"/>
      <w:proofErr w:type="gramStart"/>
      <w:r w:rsidRPr="00661CC1">
        <w:t>pNx</w:t>
      </w:r>
      <w:proofErr w:type="spellEnd"/>
      <w:proofErr w:type="gramEnd"/>
      <w:r w:rsidRPr="00661CC1">
        <w:t xml:space="preserve"> </w:t>
      </w:r>
      <w:r w:rsidRPr="00661CC1">
        <w:tab/>
        <w:t xml:space="preserve">Regional lymph nodes cannot be assessed </w:t>
      </w:r>
    </w:p>
    <w:p w14:paraId="0AC219FD" w14:textId="77777777" w:rsidR="002A2D1A" w:rsidRPr="00661CC1" w:rsidRDefault="002A2D1A" w:rsidP="00037336">
      <w:pPr>
        <w:spacing w:after="120" w:line="247" w:lineRule="auto"/>
        <w:ind w:left="993" w:right="231" w:hanging="1008"/>
        <w:jc w:val="left"/>
      </w:pPr>
      <w:proofErr w:type="gramStart"/>
      <w:r w:rsidRPr="00661CC1">
        <w:t>pN0</w:t>
      </w:r>
      <w:proofErr w:type="gramEnd"/>
      <w:r w:rsidRPr="00661CC1">
        <w:t xml:space="preserve"> </w:t>
      </w:r>
      <w:r w:rsidRPr="00661CC1">
        <w:tab/>
        <w:t xml:space="preserve">No </w:t>
      </w:r>
      <w:r w:rsidR="00F06531">
        <w:t>regional lymph node metastases</w:t>
      </w:r>
    </w:p>
    <w:p w14:paraId="536BB7DB" w14:textId="54E82D17" w:rsidR="002A2D1A" w:rsidRPr="00661CC1" w:rsidRDefault="002A2D1A" w:rsidP="00037336">
      <w:pPr>
        <w:spacing w:after="120" w:line="247" w:lineRule="auto"/>
        <w:ind w:left="993" w:right="231" w:hanging="1008"/>
        <w:jc w:val="left"/>
      </w:pPr>
      <w:proofErr w:type="gramStart"/>
      <w:r w:rsidRPr="00661CC1">
        <w:t>pN1</w:t>
      </w:r>
      <w:proofErr w:type="gramEnd"/>
      <w:r w:rsidRPr="00661CC1">
        <w:t xml:space="preserve"> </w:t>
      </w:r>
      <w:r w:rsidRPr="00661CC1">
        <w:tab/>
        <w:t xml:space="preserve">Metastasis </w:t>
      </w:r>
      <w:r w:rsidR="008A6507">
        <w:t>to 1–3</w:t>
      </w:r>
      <w:r w:rsidRPr="00661CC1">
        <w:t xml:space="preserve"> regional nodes</w:t>
      </w:r>
    </w:p>
    <w:p w14:paraId="66792832" w14:textId="04FF7BFB" w:rsidR="002A2D1A" w:rsidRPr="00661CC1" w:rsidRDefault="008A6507" w:rsidP="000F5E9F">
      <w:pPr>
        <w:spacing w:after="0" w:line="247" w:lineRule="auto"/>
        <w:ind w:left="992" w:right="232" w:hanging="1009"/>
        <w:jc w:val="left"/>
      </w:pPr>
      <w:proofErr w:type="gramStart"/>
      <w:r>
        <w:t>pN2</w:t>
      </w:r>
      <w:proofErr w:type="gramEnd"/>
      <w:r>
        <w:t xml:space="preserve"> </w:t>
      </w:r>
      <w:r>
        <w:tab/>
        <w:t>Metastasis to 4</w:t>
      </w:r>
      <w:r w:rsidR="002A2D1A" w:rsidRPr="00661CC1">
        <w:t xml:space="preserve"> or more regional nodes</w:t>
      </w:r>
    </w:p>
    <w:p w14:paraId="5107E59F" w14:textId="77777777" w:rsidR="002A2D1A" w:rsidRPr="00661CC1" w:rsidRDefault="002A2D1A" w:rsidP="00037336">
      <w:pPr>
        <w:spacing w:after="0" w:line="247" w:lineRule="auto"/>
        <w:ind w:left="-15" w:right="231" w:firstLine="0"/>
        <w:jc w:val="left"/>
      </w:pPr>
    </w:p>
    <w:p w14:paraId="3700EE56" w14:textId="77777777" w:rsidR="0012010A" w:rsidRPr="00661CC1" w:rsidRDefault="00C30C75" w:rsidP="00037336">
      <w:pPr>
        <w:spacing w:after="0" w:line="247" w:lineRule="auto"/>
        <w:ind w:left="-15" w:right="231" w:firstLine="0"/>
      </w:pPr>
      <w:r w:rsidRPr="00661CC1">
        <w:t>Histological examination of a regional lymphadenectomy specimen will ordinarily include three or more lymph nodes for HCC</w:t>
      </w:r>
      <w:r w:rsidR="00037336">
        <w:t xml:space="preserve">, </w:t>
      </w:r>
      <w:r w:rsidR="00AD0F50">
        <w:t>I</w:t>
      </w:r>
      <w:r w:rsidR="00AD3838" w:rsidRPr="00661CC1">
        <w:t xml:space="preserve">CC </w:t>
      </w:r>
      <w:r w:rsidRPr="00661CC1">
        <w:t xml:space="preserve">and gall bladder cancer and 15 lymph nodes for </w:t>
      </w:r>
      <w:proofErr w:type="spellStart"/>
      <w:r w:rsidRPr="00661CC1">
        <w:t>perihilar</w:t>
      </w:r>
      <w:proofErr w:type="spellEnd"/>
      <w:r w:rsidRPr="00661CC1">
        <w:t xml:space="preserve"> CC. If the lymph nodes are negative, but the number ordinarily examined is not met, classify as pN0</w:t>
      </w:r>
      <w:r w:rsidR="00037336">
        <w:t>.</w:t>
      </w:r>
      <w:r w:rsidRPr="00661CC1">
        <w:t xml:space="preserve"> </w:t>
      </w:r>
    </w:p>
    <w:p w14:paraId="39C43076" w14:textId="77777777" w:rsidR="0012010A" w:rsidRPr="00661CC1" w:rsidRDefault="0012010A" w:rsidP="00037336">
      <w:pPr>
        <w:tabs>
          <w:tab w:val="center" w:pos="2341"/>
        </w:tabs>
        <w:spacing w:after="0"/>
        <w:ind w:left="0" w:right="0" w:firstLine="0"/>
        <w:jc w:val="left"/>
      </w:pPr>
    </w:p>
    <w:p w14:paraId="3683E2D4" w14:textId="77777777" w:rsidR="0012010A" w:rsidRPr="00661CC1" w:rsidRDefault="00C30C75" w:rsidP="00037336">
      <w:pPr>
        <w:spacing w:after="0" w:line="259" w:lineRule="auto"/>
        <w:ind w:left="0" w:right="0" w:firstLine="0"/>
        <w:jc w:val="left"/>
      </w:pPr>
      <w:r w:rsidRPr="00661CC1">
        <w:t xml:space="preserve"> </w:t>
      </w:r>
      <w:r w:rsidRPr="00661CC1">
        <w:tab/>
        <w:t xml:space="preserve"> </w:t>
      </w:r>
    </w:p>
    <w:p w14:paraId="7CA1AF2F" w14:textId="77777777" w:rsidR="0012010A" w:rsidRPr="00B3519C" w:rsidRDefault="00037336" w:rsidP="00037336">
      <w:pPr>
        <w:pStyle w:val="Heading6"/>
        <w:spacing w:after="0"/>
        <w:ind w:left="-5" w:right="0"/>
        <w:rPr>
          <w:sz w:val="24"/>
          <w:szCs w:val="24"/>
        </w:rPr>
      </w:pPr>
      <w:r w:rsidRPr="00B3519C">
        <w:rPr>
          <w:sz w:val="24"/>
          <w:szCs w:val="24"/>
        </w:rPr>
        <w:t>D</w:t>
      </w:r>
      <w:r w:rsidR="00C30C75" w:rsidRPr="00B3519C">
        <w:rPr>
          <w:sz w:val="24"/>
          <w:szCs w:val="24"/>
        </w:rPr>
        <w:t xml:space="preserve">istant metastasis </w:t>
      </w:r>
      <w:r w:rsidRPr="00B3519C">
        <w:rPr>
          <w:sz w:val="24"/>
          <w:szCs w:val="24"/>
        </w:rPr>
        <w:t>(</w:t>
      </w:r>
      <w:proofErr w:type="spellStart"/>
      <w:r w:rsidRPr="00B3519C">
        <w:rPr>
          <w:sz w:val="24"/>
          <w:szCs w:val="24"/>
        </w:rPr>
        <w:t>pM</w:t>
      </w:r>
      <w:proofErr w:type="spellEnd"/>
      <w:r w:rsidRPr="00B3519C">
        <w:rPr>
          <w:sz w:val="24"/>
          <w:szCs w:val="24"/>
        </w:rPr>
        <w:t>)</w:t>
      </w:r>
    </w:p>
    <w:p w14:paraId="61CAABE9" w14:textId="77777777" w:rsidR="00037336" w:rsidRDefault="00037336" w:rsidP="00037336">
      <w:pPr>
        <w:spacing w:after="0" w:line="296" w:lineRule="auto"/>
        <w:ind w:right="365"/>
      </w:pPr>
    </w:p>
    <w:p w14:paraId="37320401" w14:textId="77777777" w:rsidR="005C69FA" w:rsidRDefault="00C30C75" w:rsidP="00037336">
      <w:pPr>
        <w:spacing w:after="0" w:line="296" w:lineRule="auto"/>
        <w:ind w:right="365"/>
      </w:pPr>
      <w:r w:rsidRPr="00661CC1">
        <w:t xml:space="preserve">The only </w:t>
      </w:r>
      <w:proofErr w:type="spellStart"/>
      <w:r w:rsidRPr="00661CC1">
        <w:t>pM</w:t>
      </w:r>
      <w:proofErr w:type="spellEnd"/>
      <w:r w:rsidRPr="00661CC1">
        <w:t xml:space="preserve"> code that can be assigned by the pathologist is pM1 – it is not possible to ascertain the absence of distant metastases. </w:t>
      </w:r>
    </w:p>
    <w:p w14:paraId="14D06598" w14:textId="77777777" w:rsidR="005C69FA" w:rsidRDefault="005C69FA" w:rsidP="00037336">
      <w:pPr>
        <w:spacing w:after="0" w:line="296" w:lineRule="auto"/>
        <w:ind w:right="365"/>
      </w:pPr>
    </w:p>
    <w:p w14:paraId="19D639C9" w14:textId="77777777" w:rsidR="0012010A" w:rsidRPr="00661CC1" w:rsidRDefault="00C30C75" w:rsidP="005C69FA">
      <w:pPr>
        <w:spacing w:after="0" w:line="296" w:lineRule="auto"/>
        <w:ind w:left="993" w:right="365" w:hanging="993"/>
      </w:pPr>
      <w:proofErr w:type="gramStart"/>
      <w:r w:rsidRPr="00661CC1">
        <w:t>pM1</w:t>
      </w:r>
      <w:proofErr w:type="gramEnd"/>
      <w:r w:rsidRPr="00661CC1">
        <w:t xml:space="preserve"> </w:t>
      </w:r>
      <w:r w:rsidR="005C69FA">
        <w:tab/>
      </w:r>
      <w:r w:rsidR="00F06531">
        <w:t>Distant metastasis</w:t>
      </w:r>
    </w:p>
    <w:p w14:paraId="4A738506" w14:textId="77777777" w:rsidR="005C69FA" w:rsidRDefault="005C69FA" w:rsidP="00037336">
      <w:pPr>
        <w:spacing w:after="0"/>
        <w:ind w:right="94"/>
      </w:pPr>
    </w:p>
    <w:p w14:paraId="4CC30913" w14:textId="441F1126" w:rsidR="0012010A" w:rsidRDefault="00C30C75" w:rsidP="00037336">
      <w:pPr>
        <w:spacing w:after="0"/>
        <w:ind w:right="94"/>
      </w:pPr>
      <w:r w:rsidRPr="00661CC1">
        <w:t xml:space="preserve">This includes metastasis to non-regional lymph nodes, including </w:t>
      </w:r>
      <w:proofErr w:type="spellStart"/>
      <w:r w:rsidRPr="00661CC1">
        <w:t>periaortic</w:t>
      </w:r>
      <w:proofErr w:type="spellEnd"/>
      <w:r w:rsidRPr="00661CC1">
        <w:t xml:space="preserve">, </w:t>
      </w:r>
      <w:proofErr w:type="spellStart"/>
      <w:r w:rsidRPr="00661CC1">
        <w:t>pericaval</w:t>
      </w:r>
      <w:proofErr w:type="spellEnd"/>
      <w:r w:rsidRPr="00661CC1">
        <w:t>, superior mesenteric ar</w:t>
      </w:r>
      <w:r w:rsidR="008A6507">
        <w:t>tery</w:t>
      </w:r>
      <w:r w:rsidR="005C69FA">
        <w:t xml:space="preserve"> and</w:t>
      </w:r>
      <w:r w:rsidRPr="00661CC1">
        <w:t xml:space="preserve">/or coeliac artery lymph nodes. </w:t>
      </w:r>
    </w:p>
    <w:p w14:paraId="71400C32" w14:textId="77777777" w:rsidR="00037336" w:rsidRDefault="00037336">
      <w:pPr>
        <w:spacing w:after="0" w:line="259" w:lineRule="auto"/>
        <w:ind w:left="0" w:right="0" w:firstLine="0"/>
        <w:jc w:val="left"/>
      </w:pPr>
    </w:p>
    <w:p w14:paraId="4120C264" w14:textId="77777777" w:rsidR="00F06531" w:rsidRPr="00661CC1" w:rsidRDefault="00F06531">
      <w:pPr>
        <w:spacing w:after="0" w:line="259" w:lineRule="auto"/>
        <w:ind w:left="0" w:right="0" w:firstLine="0"/>
        <w:jc w:val="left"/>
      </w:pPr>
    </w:p>
    <w:p w14:paraId="20CE4348" w14:textId="77777777" w:rsidR="00B3519C" w:rsidRDefault="00037336" w:rsidP="00037336">
      <w:pPr>
        <w:pStyle w:val="Heading6"/>
        <w:spacing w:after="120"/>
        <w:ind w:left="-5" w:right="0"/>
        <w:rPr>
          <w:sz w:val="24"/>
          <w:szCs w:val="24"/>
        </w:rPr>
      </w:pPr>
      <w:r w:rsidRPr="00B3519C">
        <w:rPr>
          <w:sz w:val="24"/>
          <w:szCs w:val="24"/>
        </w:rPr>
        <w:t>Stage grouping</w:t>
      </w:r>
    </w:p>
    <w:p w14:paraId="23F7E98A" w14:textId="77777777" w:rsidR="00037336" w:rsidRPr="00B3519C" w:rsidRDefault="00B3519C" w:rsidP="00037336">
      <w:pPr>
        <w:pStyle w:val="Heading6"/>
        <w:spacing w:after="120"/>
        <w:ind w:left="-5" w:right="0"/>
      </w:pPr>
      <w:r w:rsidRPr="00B3519C">
        <w:t>H</w:t>
      </w:r>
      <w:r w:rsidR="00C30C75" w:rsidRPr="00B3519C">
        <w:t xml:space="preserve">epatocellular carcinoma </w:t>
      </w:r>
    </w:p>
    <w:tbl>
      <w:tblPr>
        <w:tblStyle w:val="TableGrid"/>
        <w:tblW w:w="5634" w:type="dxa"/>
        <w:tblInd w:w="113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1202"/>
        <w:gridCol w:w="1436"/>
        <w:gridCol w:w="1435"/>
      </w:tblGrid>
      <w:tr w:rsidR="0012010A" w:rsidRPr="00661CC1" w14:paraId="3981B1E1" w14:textId="77777777" w:rsidTr="008A6507">
        <w:trPr>
          <w:trHeight w:val="3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1870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>Stage I</w:t>
            </w:r>
            <w:r w:rsidR="00BD331D" w:rsidRPr="00661CC1">
              <w:t>A</w:t>
            </w:r>
            <w:r w:rsidRPr="00661CC1"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8191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>T1</w:t>
            </w:r>
            <w:r w:rsidR="00BD331D" w:rsidRPr="00661CC1">
              <w:t>a</w:t>
            </w:r>
            <w:r w:rsidRPr="00661CC1"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5B57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CCE9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17C9763F" w14:textId="77777777" w:rsidTr="008A6507">
        <w:trPr>
          <w:trHeight w:val="38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D729" w14:textId="77777777" w:rsidR="0012010A" w:rsidRPr="00661CC1" w:rsidRDefault="00BD331D">
            <w:pPr>
              <w:spacing w:after="0" w:line="259" w:lineRule="auto"/>
              <w:ind w:left="0" w:right="0" w:firstLine="0"/>
              <w:jc w:val="left"/>
            </w:pPr>
            <w:r w:rsidRPr="00661CC1">
              <w:t>Stage IB</w:t>
            </w:r>
            <w:r w:rsidR="00C30C75" w:rsidRPr="00661CC1"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293E" w14:textId="77777777" w:rsidR="0012010A" w:rsidRPr="00661CC1" w:rsidRDefault="00BD331D">
            <w:pPr>
              <w:spacing w:after="0" w:line="259" w:lineRule="auto"/>
              <w:ind w:left="0" w:right="0" w:firstLine="0"/>
              <w:jc w:val="left"/>
            </w:pPr>
            <w:r w:rsidRPr="00661CC1">
              <w:t>T1b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1833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2CD9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BD331D" w:rsidRPr="00661CC1" w14:paraId="214363D0" w14:textId="77777777" w:rsidTr="008A6507">
        <w:trPr>
          <w:trHeight w:val="38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1A91" w14:textId="77777777" w:rsidR="00BD331D" w:rsidRPr="00661CC1" w:rsidRDefault="00BD331D">
            <w:pPr>
              <w:spacing w:after="0" w:line="259" w:lineRule="auto"/>
              <w:ind w:left="0" w:right="0" w:firstLine="0"/>
              <w:jc w:val="left"/>
            </w:pPr>
            <w:r w:rsidRPr="00661CC1">
              <w:t>Stage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F1B0" w14:textId="77777777" w:rsidR="00BD331D" w:rsidRPr="00661CC1" w:rsidRDefault="00BD331D">
            <w:pPr>
              <w:spacing w:after="0" w:line="259" w:lineRule="auto"/>
              <w:ind w:left="0" w:right="0" w:firstLine="0"/>
              <w:jc w:val="left"/>
            </w:pPr>
            <w:r w:rsidRPr="00661CC1">
              <w:t>T2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AB94" w14:textId="77777777" w:rsidR="00BD331D" w:rsidRPr="00661CC1" w:rsidRDefault="00BD331D">
            <w:pPr>
              <w:spacing w:after="0" w:line="259" w:lineRule="auto"/>
              <w:ind w:left="0" w:right="0" w:firstLine="0"/>
              <w:jc w:val="left"/>
            </w:pPr>
            <w:r w:rsidRPr="00661CC1">
              <w:t>N0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20E9" w14:textId="77777777" w:rsidR="00BD331D" w:rsidRPr="00661CC1" w:rsidRDefault="00BD331D">
            <w:pPr>
              <w:spacing w:after="0" w:line="259" w:lineRule="auto"/>
              <w:ind w:left="0" w:right="0" w:firstLine="0"/>
              <w:jc w:val="left"/>
            </w:pPr>
            <w:r w:rsidRPr="00661CC1">
              <w:t>M0</w:t>
            </w:r>
          </w:p>
        </w:tc>
      </w:tr>
      <w:tr w:rsidR="0012010A" w:rsidRPr="00661CC1" w14:paraId="633AB1A4" w14:textId="77777777" w:rsidTr="008A6507">
        <w:trPr>
          <w:trHeight w:val="3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DBE2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IIIA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4538" w14:textId="77777777" w:rsidR="0012010A" w:rsidRPr="00661CC1" w:rsidRDefault="00BD331D">
            <w:pPr>
              <w:spacing w:after="0" w:line="259" w:lineRule="auto"/>
              <w:ind w:left="0" w:right="0" w:firstLine="0"/>
              <w:jc w:val="left"/>
            </w:pPr>
            <w:r w:rsidRPr="00661CC1">
              <w:t>T3</w:t>
            </w:r>
            <w:r w:rsidR="00C30C75" w:rsidRPr="00661CC1"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4033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A99D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667B14A3" w14:textId="77777777" w:rsidTr="008A6507">
        <w:trPr>
          <w:trHeight w:val="38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D6F7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IIIB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9B45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>T</w:t>
            </w:r>
            <w:r w:rsidR="00BD331D" w:rsidRPr="00661CC1">
              <w:t>4</w:t>
            </w:r>
            <w:r w:rsidRPr="00661CC1"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23A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4F1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1E6A340E" w14:textId="77777777" w:rsidTr="008A6507">
        <w:trPr>
          <w:trHeight w:val="38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B16B" w14:textId="76E1BA10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>Stage</w:t>
            </w:r>
            <w:r w:rsidR="008A6507">
              <w:t xml:space="preserve"> </w:t>
            </w:r>
            <w:r w:rsidR="00BD331D" w:rsidRPr="00661CC1">
              <w:t>IVA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78B" w14:textId="77777777" w:rsidR="0012010A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Any T</w:t>
            </w:r>
            <w:r w:rsidR="00C30C75" w:rsidRPr="00661CC1"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D8E3" w14:textId="77777777" w:rsidR="0012010A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N1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AB0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5EDA2912" w14:textId="77777777" w:rsidTr="008A6507">
        <w:trPr>
          <w:trHeight w:val="3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C923" w14:textId="77777777" w:rsidR="0012010A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Stage IVB</w:t>
            </w:r>
            <w:r w:rsidR="00C30C75" w:rsidRPr="00661CC1"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B91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Any T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2A3A" w14:textId="77777777" w:rsidR="0012010A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Any 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B0AA" w14:textId="77777777" w:rsidR="0012010A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M1</w:t>
            </w:r>
            <w:r w:rsidR="00C30C75" w:rsidRPr="00661CC1">
              <w:t xml:space="preserve"> </w:t>
            </w:r>
          </w:p>
        </w:tc>
      </w:tr>
    </w:tbl>
    <w:p w14:paraId="72668408" w14:textId="77777777" w:rsidR="00037336" w:rsidRDefault="00C30C75">
      <w:pPr>
        <w:spacing w:after="0" w:line="259" w:lineRule="auto"/>
        <w:ind w:left="0" w:right="0" w:firstLine="0"/>
        <w:jc w:val="left"/>
        <w:rPr>
          <w:b/>
        </w:rPr>
      </w:pPr>
      <w:r w:rsidRPr="00661CC1">
        <w:rPr>
          <w:b/>
        </w:rPr>
        <w:t xml:space="preserve"> </w:t>
      </w:r>
    </w:p>
    <w:p w14:paraId="61E427B5" w14:textId="77777777" w:rsidR="005C69FA" w:rsidRDefault="005C69FA">
      <w:pPr>
        <w:spacing w:after="0" w:line="259" w:lineRule="auto"/>
        <w:ind w:left="0" w:right="0" w:firstLine="0"/>
        <w:jc w:val="left"/>
        <w:rPr>
          <w:b/>
        </w:rPr>
      </w:pPr>
    </w:p>
    <w:p w14:paraId="08D42DE3" w14:textId="77777777" w:rsidR="005C69FA" w:rsidRDefault="005C69FA">
      <w:pPr>
        <w:spacing w:after="0" w:line="259" w:lineRule="auto"/>
        <w:ind w:left="0" w:right="0" w:firstLine="0"/>
        <w:jc w:val="left"/>
        <w:rPr>
          <w:b/>
        </w:rPr>
      </w:pPr>
    </w:p>
    <w:p w14:paraId="4EF11CDB" w14:textId="77777777" w:rsidR="005C69FA" w:rsidRDefault="005C69FA">
      <w:pPr>
        <w:spacing w:after="0" w:line="259" w:lineRule="auto"/>
        <w:ind w:left="0" w:right="0" w:firstLine="0"/>
        <w:jc w:val="left"/>
        <w:rPr>
          <w:b/>
        </w:rPr>
      </w:pPr>
    </w:p>
    <w:p w14:paraId="12ECCAAA" w14:textId="77777777" w:rsidR="005C69FA" w:rsidRDefault="005C69FA">
      <w:pPr>
        <w:spacing w:after="0" w:line="259" w:lineRule="auto"/>
        <w:ind w:left="0" w:right="0" w:firstLine="0"/>
        <w:jc w:val="left"/>
        <w:rPr>
          <w:b/>
        </w:rPr>
      </w:pPr>
    </w:p>
    <w:p w14:paraId="21278BB7" w14:textId="77777777" w:rsidR="005C69FA" w:rsidRDefault="005C69FA">
      <w:pPr>
        <w:spacing w:after="0" w:line="259" w:lineRule="auto"/>
        <w:ind w:left="0" w:right="0" w:firstLine="0"/>
        <w:jc w:val="left"/>
        <w:rPr>
          <w:b/>
        </w:rPr>
      </w:pPr>
    </w:p>
    <w:p w14:paraId="0527A88D" w14:textId="77777777" w:rsidR="005C69FA" w:rsidRDefault="005C69FA">
      <w:pPr>
        <w:spacing w:after="0" w:line="259" w:lineRule="auto"/>
        <w:ind w:left="0" w:right="0" w:firstLine="0"/>
        <w:jc w:val="left"/>
        <w:rPr>
          <w:b/>
        </w:rPr>
      </w:pPr>
    </w:p>
    <w:p w14:paraId="5D79DE1F" w14:textId="77777777" w:rsidR="005C69FA" w:rsidRDefault="005C69FA">
      <w:pPr>
        <w:spacing w:after="0" w:line="259" w:lineRule="auto"/>
        <w:ind w:left="0" w:right="0" w:firstLine="0"/>
        <w:jc w:val="left"/>
        <w:rPr>
          <w:b/>
        </w:rPr>
      </w:pPr>
    </w:p>
    <w:p w14:paraId="0A39D858" w14:textId="77777777" w:rsidR="005C69FA" w:rsidRPr="00661CC1" w:rsidRDefault="005C69FA">
      <w:pPr>
        <w:spacing w:after="0" w:line="259" w:lineRule="auto"/>
        <w:ind w:left="0" w:right="0" w:firstLine="0"/>
        <w:jc w:val="left"/>
      </w:pPr>
    </w:p>
    <w:p w14:paraId="682D56F2" w14:textId="77777777" w:rsidR="00037336" w:rsidRPr="00037336" w:rsidRDefault="00B3519C" w:rsidP="00037336">
      <w:pPr>
        <w:pStyle w:val="Heading6"/>
        <w:spacing w:after="120"/>
        <w:ind w:left="-5" w:right="0"/>
      </w:pPr>
      <w:r>
        <w:lastRenderedPageBreak/>
        <w:t>I</w:t>
      </w:r>
      <w:r w:rsidR="00C30C75" w:rsidRPr="00661CC1">
        <w:t xml:space="preserve">ntrahepatic cholangiocarcinoma  </w:t>
      </w:r>
    </w:p>
    <w:tbl>
      <w:tblPr>
        <w:tblStyle w:val="TableGrid"/>
        <w:tblW w:w="5634" w:type="dxa"/>
        <w:tblInd w:w="113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1202"/>
        <w:gridCol w:w="1436"/>
        <w:gridCol w:w="1435"/>
      </w:tblGrid>
      <w:tr w:rsidR="00936FB9" w:rsidRPr="00661CC1" w14:paraId="4005A728" w14:textId="77777777" w:rsidTr="008A6507">
        <w:trPr>
          <w:trHeight w:val="38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7DD9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B1F1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T1a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48A9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5AA1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936FB9" w:rsidRPr="00661CC1" w14:paraId="3EB2263A" w14:textId="77777777" w:rsidTr="008A6507">
        <w:trPr>
          <w:trHeight w:val="38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8D1D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Stage IB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45F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T1b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B41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ED0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936FB9" w:rsidRPr="00661CC1" w14:paraId="55348F62" w14:textId="77777777" w:rsidTr="008A6507">
        <w:trPr>
          <w:trHeight w:val="3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1DD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II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8079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F17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D18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936FB9" w:rsidRPr="00661CC1" w14:paraId="75A295C3" w14:textId="77777777" w:rsidTr="008A6507">
        <w:trPr>
          <w:trHeight w:val="38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8F40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Stage IIIA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6343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T3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F973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9137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8A6507" w:rsidRPr="00661CC1" w14:paraId="49E22147" w14:textId="77777777" w:rsidTr="00E824AC">
        <w:trPr>
          <w:trHeight w:val="38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D81F2" w14:textId="223FBD3C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Stage IIIB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FDAC" w14:textId="5D2A1BE8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>
              <w:t>T4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ABD" w14:textId="15262321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N0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0D25" w14:textId="21FED27B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M0</w:t>
            </w:r>
          </w:p>
        </w:tc>
      </w:tr>
      <w:tr w:rsidR="008A6507" w:rsidRPr="00661CC1" w14:paraId="4A74B917" w14:textId="77777777" w:rsidTr="00E824AC">
        <w:trPr>
          <w:trHeight w:val="384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592E" w14:textId="77777777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3AAA" w14:textId="4CF084DC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Any T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5676" w14:textId="3A926782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N1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CA61" w14:textId="4EB537B6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M0</w:t>
            </w:r>
          </w:p>
        </w:tc>
      </w:tr>
      <w:tr w:rsidR="00936FB9" w:rsidRPr="00661CC1" w14:paraId="207FF8D3" w14:textId="77777777" w:rsidTr="008A6507">
        <w:trPr>
          <w:trHeight w:val="38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EDD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IV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52FF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Any T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021D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Any N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E794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M1 </w:t>
            </w:r>
          </w:p>
        </w:tc>
      </w:tr>
    </w:tbl>
    <w:p w14:paraId="19DFCC80" w14:textId="0238E7B0" w:rsidR="00F06531" w:rsidRPr="008A6507" w:rsidRDefault="00C30C75" w:rsidP="00037336">
      <w:pPr>
        <w:spacing w:after="0" w:line="259" w:lineRule="auto"/>
        <w:ind w:left="0" w:right="0" w:firstLine="0"/>
        <w:jc w:val="left"/>
        <w:rPr>
          <w:b/>
        </w:rPr>
      </w:pPr>
      <w:r w:rsidRPr="00661CC1">
        <w:rPr>
          <w:b/>
        </w:rPr>
        <w:t xml:space="preserve"> </w:t>
      </w:r>
    </w:p>
    <w:p w14:paraId="39B51175" w14:textId="77777777" w:rsidR="0012010A" w:rsidRPr="00037336" w:rsidRDefault="00B3519C" w:rsidP="00037336">
      <w:pPr>
        <w:spacing w:after="120" w:line="259" w:lineRule="auto"/>
        <w:ind w:left="0" w:right="0" w:firstLine="0"/>
        <w:jc w:val="left"/>
        <w:rPr>
          <w:b/>
        </w:rPr>
      </w:pPr>
      <w:proofErr w:type="spellStart"/>
      <w:r>
        <w:rPr>
          <w:b/>
        </w:rPr>
        <w:t>P</w:t>
      </w:r>
      <w:r w:rsidR="00C30C75" w:rsidRPr="00037336">
        <w:rPr>
          <w:b/>
        </w:rPr>
        <w:t>erihilar</w:t>
      </w:r>
      <w:proofErr w:type="spellEnd"/>
      <w:r w:rsidR="00C30C75" w:rsidRPr="00037336">
        <w:rPr>
          <w:b/>
        </w:rPr>
        <w:t xml:space="preserve"> cholangiocarcinoma  </w:t>
      </w:r>
    </w:p>
    <w:tbl>
      <w:tblPr>
        <w:tblStyle w:val="TableGrid"/>
        <w:tblW w:w="5617" w:type="dxa"/>
        <w:tblInd w:w="113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1195"/>
        <w:gridCol w:w="1431"/>
        <w:gridCol w:w="1430"/>
      </w:tblGrid>
      <w:tr w:rsidR="0012010A" w:rsidRPr="00661CC1" w14:paraId="447D0B04" w14:textId="77777777" w:rsidTr="008A6507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8FDD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0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13BD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Tis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647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D99B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793AAE43" w14:textId="77777777" w:rsidTr="008A6507">
        <w:trPr>
          <w:trHeight w:val="3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6E1A" w14:textId="77777777" w:rsidR="0012010A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Stage I</w:t>
            </w:r>
            <w:r w:rsidR="00C30C75" w:rsidRPr="00661CC1"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8029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T1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EE1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83B6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7EDB9113" w14:textId="77777777" w:rsidTr="008A6507">
        <w:trPr>
          <w:trHeight w:val="3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35AD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II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1912" w14:textId="0D1807CC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>T2a,</w:t>
            </w:r>
            <w:r w:rsidR="008A6507">
              <w:t xml:space="preserve"> </w:t>
            </w:r>
            <w:r w:rsidRPr="00661CC1">
              <w:t xml:space="preserve">b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9E9B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7CB1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069CAB6A" w14:textId="77777777" w:rsidTr="008A6507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92FE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IIIA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F550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T3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CC23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3EE5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33E81F6E" w14:textId="77777777" w:rsidTr="008A6507">
        <w:trPr>
          <w:trHeight w:val="3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BB47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IIIB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6E5B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>T</w:t>
            </w:r>
            <w:r w:rsidR="00936FB9" w:rsidRPr="00661CC1"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718D" w14:textId="77777777" w:rsidR="0012010A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N0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F58F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936FB9" w:rsidRPr="00661CC1" w14:paraId="15EDD58D" w14:textId="77777777" w:rsidTr="008A6507">
        <w:trPr>
          <w:trHeight w:val="3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8671" w14:textId="77777777" w:rsidR="00936FB9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Stage IIIC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81D5" w14:textId="77777777" w:rsidR="00936FB9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Any 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87B2" w14:textId="77777777" w:rsidR="00936FB9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N1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7DCD" w14:textId="77777777" w:rsidR="00936FB9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M0</w:t>
            </w:r>
          </w:p>
        </w:tc>
      </w:tr>
      <w:tr w:rsidR="0012010A" w:rsidRPr="00661CC1" w14:paraId="0648A53A" w14:textId="77777777" w:rsidTr="008A6507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3EEA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IVA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75CB" w14:textId="77777777" w:rsidR="0012010A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Any T</w:t>
            </w:r>
            <w:r w:rsidR="00C30C75" w:rsidRPr="00661CC1"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BDF9" w14:textId="77777777" w:rsidR="0012010A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N2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A909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7B35138D" w14:textId="77777777" w:rsidTr="008A6507">
        <w:trPr>
          <w:trHeight w:val="3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4537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IVB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09B9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Any T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E7A2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Any N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B22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M1 </w:t>
            </w:r>
          </w:p>
        </w:tc>
      </w:tr>
    </w:tbl>
    <w:p w14:paraId="1E8C8140" w14:textId="77777777" w:rsidR="00F06531" w:rsidRPr="00661CC1" w:rsidRDefault="00F06531">
      <w:pPr>
        <w:spacing w:after="0" w:line="259" w:lineRule="auto"/>
        <w:ind w:left="0" w:right="0" w:firstLine="0"/>
        <w:jc w:val="left"/>
      </w:pPr>
    </w:p>
    <w:p w14:paraId="0F4724A8" w14:textId="77777777" w:rsidR="0012010A" w:rsidRPr="00661CC1" w:rsidRDefault="00B3519C" w:rsidP="00037336">
      <w:pPr>
        <w:pStyle w:val="Heading6"/>
        <w:spacing w:after="120"/>
        <w:ind w:left="-5" w:right="0"/>
      </w:pPr>
      <w:r>
        <w:t>G</w:t>
      </w:r>
      <w:r w:rsidR="00C30C75" w:rsidRPr="00661CC1">
        <w:t xml:space="preserve">all bladder carcinoma  </w:t>
      </w:r>
    </w:p>
    <w:tbl>
      <w:tblPr>
        <w:tblStyle w:val="TableGrid"/>
        <w:tblW w:w="5617" w:type="dxa"/>
        <w:tblInd w:w="113" w:type="dxa"/>
        <w:tblCellMar>
          <w:top w:w="6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561"/>
        <w:gridCol w:w="1195"/>
        <w:gridCol w:w="1431"/>
        <w:gridCol w:w="1430"/>
      </w:tblGrid>
      <w:tr w:rsidR="0012010A" w:rsidRPr="00661CC1" w14:paraId="65767CE8" w14:textId="77777777" w:rsidTr="008A6507">
        <w:trPr>
          <w:trHeight w:val="38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018C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0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1A64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Tis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79EC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157E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12010A" w:rsidRPr="00661CC1" w14:paraId="791551C3" w14:textId="77777777" w:rsidTr="008A6507">
        <w:trPr>
          <w:trHeight w:val="3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AD1F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33C3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>T1</w:t>
            </w:r>
            <w:r w:rsidR="00936FB9" w:rsidRPr="00661CC1">
              <w:t>a</w:t>
            </w:r>
            <w:r w:rsidRPr="00661CC1"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8DD7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4E51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936FB9" w:rsidRPr="00661CC1" w14:paraId="5A19210D" w14:textId="77777777" w:rsidTr="008A6507">
        <w:trPr>
          <w:trHeight w:val="3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ABF6" w14:textId="77777777" w:rsidR="00936FB9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Stage IB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DB99" w14:textId="77777777" w:rsidR="00936FB9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T1b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779D" w14:textId="77777777" w:rsidR="00936FB9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N0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A5C4" w14:textId="77777777" w:rsidR="00936FB9" w:rsidRPr="00661CC1" w:rsidRDefault="00936FB9">
            <w:pPr>
              <w:spacing w:after="0" w:line="259" w:lineRule="auto"/>
              <w:ind w:left="0" w:right="0" w:firstLine="0"/>
              <w:jc w:val="left"/>
            </w:pPr>
            <w:r w:rsidRPr="00661CC1">
              <w:t>M0</w:t>
            </w:r>
          </w:p>
        </w:tc>
      </w:tr>
      <w:tr w:rsidR="0012010A" w:rsidRPr="00661CC1" w14:paraId="3012986B" w14:textId="77777777" w:rsidTr="008A6507">
        <w:trPr>
          <w:trHeight w:val="38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C931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>Stage II</w:t>
            </w:r>
            <w:r w:rsidR="00936FB9" w:rsidRPr="00661CC1">
              <w:t>A</w:t>
            </w:r>
            <w:r w:rsidRPr="00661CC1"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0BA2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>T2</w:t>
            </w:r>
            <w:r w:rsidR="00936FB9" w:rsidRPr="00661CC1">
              <w:t>a</w:t>
            </w:r>
            <w:r w:rsidRPr="00661CC1"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0D7B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1A67" w14:textId="77777777" w:rsidR="0012010A" w:rsidRPr="00661CC1" w:rsidRDefault="00C30C75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936FB9" w:rsidRPr="00661CC1" w14:paraId="1BD86FDD" w14:textId="77777777" w:rsidTr="008A6507">
        <w:trPr>
          <w:trHeight w:val="38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00C9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IIB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0D8B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T2b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DE6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876E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936FB9" w:rsidRPr="00661CC1" w14:paraId="3C64A6FC" w14:textId="77777777" w:rsidTr="008A6507">
        <w:trPr>
          <w:trHeight w:val="3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3026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IIIA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0ADB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T3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405C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EA3A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936FB9" w:rsidRPr="00661CC1" w14:paraId="6694E20B" w14:textId="77777777" w:rsidTr="008A6507">
        <w:trPr>
          <w:trHeight w:val="38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EB4F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IIIB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26C5" w14:textId="13A57AC6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T1,</w:t>
            </w:r>
            <w:r w:rsidR="008A6507">
              <w:t xml:space="preserve"> T2</w:t>
            </w:r>
            <w:r w:rsidRPr="00661CC1">
              <w:t>,</w:t>
            </w:r>
            <w:r w:rsidR="008A6507">
              <w:t xml:space="preserve"> </w:t>
            </w:r>
            <w:r w:rsidRPr="00661CC1">
              <w:t xml:space="preserve">T3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0ACA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N1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BC33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936FB9" w:rsidRPr="00661CC1" w14:paraId="501D565A" w14:textId="77777777" w:rsidTr="008A6507">
        <w:trPr>
          <w:trHeight w:val="3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A0F3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Stage IVA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8C21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T4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9F95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 N0, N1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0FEA" w14:textId="77777777" w:rsidR="00936FB9" w:rsidRPr="00661CC1" w:rsidRDefault="00936FB9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 xml:space="preserve">M0 </w:t>
            </w:r>
          </w:p>
        </w:tc>
      </w:tr>
      <w:tr w:rsidR="008A6507" w:rsidRPr="00661CC1" w14:paraId="1DB9050B" w14:textId="77777777" w:rsidTr="00215911">
        <w:trPr>
          <w:trHeight w:val="38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244C" w14:textId="0BC71699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Stage IVB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8C2" w14:textId="5546D265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Any 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A0AE" w14:textId="6F7EE93B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N2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E38A" w14:textId="59187367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M0</w:t>
            </w:r>
          </w:p>
        </w:tc>
      </w:tr>
      <w:tr w:rsidR="008A6507" w:rsidRPr="00661CC1" w14:paraId="01D55EC5" w14:textId="77777777" w:rsidTr="00215911">
        <w:trPr>
          <w:trHeight w:val="384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08F3" w14:textId="77777777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0B13" w14:textId="40AEA313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Any 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A599" w14:textId="6040750C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Any 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ECA6" w14:textId="2F37649D" w:rsidR="008A6507" w:rsidRPr="00661CC1" w:rsidRDefault="008A6507" w:rsidP="00936FB9">
            <w:pPr>
              <w:spacing w:after="0" w:line="259" w:lineRule="auto"/>
              <w:ind w:left="0" w:right="0" w:firstLine="0"/>
              <w:jc w:val="left"/>
            </w:pPr>
            <w:r w:rsidRPr="00661CC1">
              <w:t>M1</w:t>
            </w:r>
          </w:p>
        </w:tc>
      </w:tr>
    </w:tbl>
    <w:p w14:paraId="749372FD" w14:textId="4E63AE8F" w:rsidR="00497599" w:rsidRPr="008A6507" w:rsidRDefault="00B3519C" w:rsidP="00F06531">
      <w:pPr>
        <w:spacing w:after="0" w:line="259" w:lineRule="auto"/>
        <w:ind w:left="0" w:right="0" w:firstLine="0"/>
        <w:jc w:val="left"/>
        <w:rPr>
          <w:rFonts w:eastAsia="Calibri"/>
          <w:b/>
          <w:sz w:val="24"/>
          <w:szCs w:val="24"/>
        </w:rPr>
      </w:pPr>
      <w:bookmarkStart w:id="1" w:name="_GoBack"/>
      <w:bookmarkEnd w:id="1"/>
      <w:r w:rsidRPr="008A6507">
        <w:rPr>
          <w:rFonts w:eastAsia="Calibri"/>
          <w:b/>
          <w:sz w:val="24"/>
          <w:szCs w:val="24"/>
        </w:rPr>
        <w:lastRenderedPageBreak/>
        <w:t>Reference</w:t>
      </w:r>
    </w:p>
    <w:p w14:paraId="57AF4AE5" w14:textId="77777777" w:rsidR="00497599" w:rsidRPr="00661CC1" w:rsidRDefault="00497599" w:rsidP="00497599">
      <w:pPr>
        <w:ind w:left="567" w:right="181" w:hanging="567"/>
        <w:rPr>
          <w:rFonts w:eastAsia="Calibri"/>
          <w:b/>
        </w:rPr>
      </w:pPr>
    </w:p>
    <w:p w14:paraId="7AD91E1C" w14:textId="77777777" w:rsidR="00497599" w:rsidRPr="00661CC1" w:rsidRDefault="00661CC1" w:rsidP="00497599">
      <w:pPr>
        <w:ind w:left="567" w:right="181" w:hanging="567"/>
        <w:rPr>
          <w:rFonts w:eastAsia="Calibri"/>
        </w:rPr>
      </w:pPr>
      <w:r>
        <w:rPr>
          <w:rFonts w:eastAsia="Calibri"/>
        </w:rPr>
        <w:t>1</w:t>
      </w:r>
      <w:r w:rsidR="00497599" w:rsidRPr="00661CC1">
        <w:rPr>
          <w:rFonts w:eastAsia="Calibri"/>
        </w:rPr>
        <w:tab/>
      </w:r>
      <w:r w:rsidR="00936FB9" w:rsidRPr="00661CC1">
        <w:rPr>
          <w:rFonts w:eastAsia="Calibri"/>
        </w:rPr>
        <w:t xml:space="preserve">Liver; Gallbladder; </w:t>
      </w:r>
      <w:proofErr w:type="spellStart"/>
      <w:r w:rsidR="00936FB9" w:rsidRPr="00661CC1">
        <w:rPr>
          <w:rFonts w:eastAsia="Calibri"/>
        </w:rPr>
        <w:t>Perihilar</w:t>
      </w:r>
      <w:proofErr w:type="spellEnd"/>
      <w:r w:rsidR="00936FB9" w:rsidRPr="00661CC1">
        <w:rPr>
          <w:rFonts w:eastAsia="Calibri"/>
        </w:rPr>
        <w:t xml:space="preserve"> Bile Ducts; Intrahepatic Bile Ducts</w:t>
      </w:r>
      <w:r w:rsidR="00497599" w:rsidRPr="00661CC1">
        <w:rPr>
          <w:rFonts w:eastAsia="Calibri"/>
        </w:rPr>
        <w:t xml:space="preserve"> </w:t>
      </w:r>
      <w:r w:rsidR="00497599" w:rsidRPr="00661CC1">
        <w:rPr>
          <w:rFonts w:eastAsia="Calibri"/>
          <w:i/>
        </w:rPr>
        <w:t>In</w:t>
      </w:r>
      <w:r w:rsidR="00497599" w:rsidRPr="00661CC1">
        <w:rPr>
          <w:rFonts w:eastAsia="Calibri"/>
        </w:rPr>
        <w:t xml:space="preserve">: Brierley JD, </w:t>
      </w:r>
      <w:proofErr w:type="spellStart"/>
      <w:r w:rsidR="00497599" w:rsidRPr="00661CC1">
        <w:rPr>
          <w:rFonts w:eastAsia="Calibri"/>
        </w:rPr>
        <w:t>Gospodarowicz</w:t>
      </w:r>
      <w:proofErr w:type="spellEnd"/>
      <w:r w:rsidR="00497599" w:rsidRPr="00661CC1">
        <w:rPr>
          <w:rFonts w:eastAsia="Calibri"/>
        </w:rPr>
        <w:t xml:space="preserve"> MK, Wittekind C</w:t>
      </w:r>
      <w:r>
        <w:rPr>
          <w:rFonts w:eastAsia="Calibri"/>
        </w:rPr>
        <w:t xml:space="preserve"> (eds</w:t>
      </w:r>
      <w:r w:rsidR="00497599" w:rsidRPr="00661CC1">
        <w:rPr>
          <w:rFonts w:eastAsia="Calibri"/>
        </w:rPr>
        <w:t xml:space="preserve">). </w:t>
      </w:r>
      <w:r w:rsidR="00497599" w:rsidRPr="00661CC1">
        <w:rPr>
          <w:rFonts w:eastAsia="Calibri"/>
          <w:i/>
        </w:rPr>
        <w:t>TNM Clas</w:t>
      </w:r>
      <w:r>
        <w:rPr>
          <w:rFonts w:eastAsia="Calibri"/>
          <w:i/>
        </w:rPr>
        <w:t>sification of Malignant Tumours</w:t>
      </w:r>
      <w:r w:rsidR="00497599" w:rsidRPr="00661CC1">
        <w:rPr>
          <w:rFonts w:eastAsia="Calibri"/>
          <w:i/>
        </w:rPr>
        <w:t xml:space="preserve"> </w:t>
      </w:r>
      <w:r>
        <w:rPr>
          <w:rFonts w:eastAsia="Calibri"/>
          <w:i/>
        </w:rPr>
        <w:t>(</w:t>
      </w:r>
      <w:r w:rsidR="00497599" w:rsidRPr="00661CC1">
        <w:rPr>
          <w:rFonts w:eastAsia="Calibri"/>
          <w:i/>
        </w:rPr>
        <w:t>8</w:t>
      </w:r>
      <w:r w:rsidR="00497599" w:rsidRPr="00661CC1">
        <w:rPr>
          <w:rFonts w:eastAsia="Calibri"/>
          <w:i/>
          <w:vertAlign w:val="superscript"/>
        </w:rPr>
        <w:t>th</w:t>
      </w:r>
      <w:r w:rsidR="00497599" w:rsidRPr="00661CC1">
        <w:rPr>
          <w:rFonts w:eastAsia="Calibri"/>
          <w:i/>
        </w:rPr>
        <w:t xml:space="preserve"> edition</w:t>
      </w:r>
      <w:r>
        <w:rPr>
          <w:rFonts w:eastAsia="Calibri"/>
          <w:i/>
        </w:rPr>
        <w:t>)</w:t>
      </w:r>
      <w:r w:rsidR="00497599" w:rsidRPr="00661CC1">
        <w:rPr>
          <w:rFonts w:eastAsia="Calibri"/>
          <w:i/>
        </w:rPr>
        <w:t>.</w:t>
      </w:r>
      <w:r w:rsidR="00497599" w:rsidRPr="00661CC1">
        <w:rPr>
          <w:rFonts w:eastAsia="Calibri"/>
        </w:rPr>
        <w:t xml:space="preserve"> </w:t>
      </w:r>
      <w:r>
        <w:rPr>
          <w:rFonts w:eastAsia="Calibri"/>
        </w:rPr>
        <w:t>Oxford, UK: Wiley-Blackwell, 2017</w:t>
      </w:r>
      <w:r w:rsidR="00497599" w:rsidRPr="00661CC1">
        <w:rPr>
          <w:rFonts w:eastAsia="Calibri"/>
        </w:rPr>
        <w:t xml:space="preserve">. </w:t>
      </w:r>
    </w:p>
    <w:sectPr w:rsidR="00497599" w:rsidRPr="00661CC1" w:rsidSect="00661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1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18660" w14:textId="77777777" w:rsidR="00C30C75" w:rsidRDefault="00C30C75">
      <w:pPr>
        <w:spacing w:after="0" w:line="240" w:lineRule="auto"/>
      </w:pPr>
      <w:r>
        <w:separator/>
      </w:r>
    </w:p>
  </w:endnote>
  <w:endnote w:type="continuationSeparator" w:id="0">
    <w:p w14:paraId="262716B7" w14:textId="77777777" w:rsidR="00C30C75" w:rsidRDefault="00C3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636CF" w14:textId="77777777" w:rsidR="0012010A" w:rsidRDefault="0012010A">
    <w:pPr>
      <w:tabs>
        <w:tab w:val="center" w:pos="1337"/>
        <w:tab w:val="center" w:pos="2459"/>
        <w:tab w:val="center" w:pos="6064"/>
        <w:tab w:val="center" w:pos="9620"/>
        <w:tab w:val="center" w:pos="10706"/>
      </w:tabs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3E6BC" w14:textId="77777777" w:rsidR="0012010A" w:rsidRDefault="0012010A">
    <w:pPr>
      <w:tabs>
        <w:tab w:val="center" w:pos="1337"/>
        <w:tab w:val="center" w:pos="2459"/>
        <w:tab w:val="center" w:pos="6064"/>
        <w:tab w:val="center" w:pos="9620"/>
        <w:tab w:val="center" w:pos="10706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89611" w14:textId="77777777" w:rsidR="0012010A" w:rsidRDefault="0012010A" w:rsidP="00037336">
    <w:pPr>
      <w:tabs>
        <w:tab w:val="center" w:pos="1337"/>
        <w:tab w:val="center" w:pos="6064"/>
        <w:tab w:val="center" w:pos="9620"/>
        <w:tab w:val="center" w:pos="10706"/>
      </w:tabs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52017" w14:textId="77777777" w:rsidR="00C30C75" w:rsidRDefault="00C30C75">
      <w:pPr>
        <w:spacing w:after="0" w:line="240" w:lineRule="auto"/>
      </w:pPr>
      <w:r>
        <w:separator/>
      </w:r>
    </w:p>
  </w:footnote>
  <w:footnote w:type="continuationSeparator" w:id="0">
    <w:p w14:paraId="5C2DEACD" w14:textId="77777777" w:rsidR="00C30C75" w:rsidRDefault="00C3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4A7FA" w14:textId="77777777" w:rsidR="0012010A" w:rsidRDefault="0012010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AB898" w14:textId="77777777" w:rsidR="0012010A" w:rsidRDefault="0012010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56BF6" w14:textId="77777777" w:rsidR="0012010A" w:rsidRDefault="0012010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D53"/>
    <w:multiLevelType w:val="hybridMultilevel"/>
    <w:tmpl w:val="11788AA4"/>
    <w:lvl w:ilvl="0" w:tplc="33BC0792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6C48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070C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28DD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2888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2706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AFF6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D3A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299C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11462E"/>
    <w:multiLevelType w:val="hybridMultilevel"/>
    <w:tmpl w:val="20D03734"/>
    <w:lvl w:ilvl="0" w:tplc="13782918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A9BE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8D3C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E51D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2387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803B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C0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56EE1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6CD44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BB06F4"/>
    <w:multiLevelType w:val="hybridMultilevel"/>
    <w:tmpl w:val="CE0E7D08"/>
    <w:lvl w:ilvl="0" w:tplc="2F1EFBEC">
      <w:start w:val="2"/>
      <w:numFmt w:val="lowerLetter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E171E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7A049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6A78B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61E1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4BF5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46BE6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8BF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F648F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901C9D"/>
    <w:multiLevelType w:val="hybridMultilevel"/>
    <w:tmpl w:val="D2D0181A"/>
    <w:lvl w:ilvl="0" w:tplc="F516D320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2EE52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4AB2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8A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160E8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0078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8324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CC3CC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54100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D204F0"/>
    <w:multiLevelType w:val="hybridMultilevel"/>
    <w:tmpl w:val="50D8F858"/>
    <w:lvl w:ilvl="0" w:tplc="07A47E84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A6C3F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4415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25F2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FA8C9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4A6F1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6D91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461E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AEA6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BB2B5D"/>
    <w:multiLevelType w:val="hybridMultilevel"/>
    <w:tmpl w:val="7004DCDE"/>
    <w:lvl w:ilvl="0" w:tplc="C4EE5DEA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8983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3E81C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4AB2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496A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A0D4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4A30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5AE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ACB2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D102CA"/>
    <w:multiLevelType w:val="hybridMultilevel"/>
    <w:tmpl w:val="8208DCEA"/>
    <w:lvl w:ilvl="0" w:tplc="9ED8738A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AE85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267E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0292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8B63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A1DF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6884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059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4B0F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FD004F"/>
    <w:multiLevelType w:val="hybridMultilevel"/>
    <w:tmpl w:val="26087768"/>
    <w:lvl w:ilvl="0" w:tplc="6D864BC6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EAB5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315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43A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5A4A3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6C860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8C32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2E60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4944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BC678A"/>
    <w:multiLevelType w:val="hybridMultilevel"/>
    <w:tmpl w:val="EB8E6C94"/>
    <w:lvl w:ilvl="0" w:tplc="D68898BC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CC8A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8C90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F6BF8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C832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2F3E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296E6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6E46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F8668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CF7934"/>
    <w:multiLevelType w:val="hybridMultilevel"/>
    <w:tmpl w:val="38D21B3E"/>
    <w:lvl w:ilvl="0" w:tplc="9976DB6A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29D6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E619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881B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0C0D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D8FD1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C1B3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00989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8A79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A443F6"/>
    <w:multiLevelType w:val="hybridMultilevel"/>
    <w:tmpl w:val="DB8AD94A"/>
    <w:lvl w:ilvl="0" w:tplc="91DE5B1A">
      <w:start w:val="1"/>
      <w:numFmt w:val="lowerLetter"/>
      <w:lvlText w:val="%1.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49E8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5A423E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4830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4060F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A818F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C45D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C068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C1BF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C5417F"/>
    <w:multiLevelType w:val="hybridMultilevel"/>
    <w:tmpl w:val="E376A858"/>
    <w:lvl w:ilvl="0" w:tplc="DEEC9948">
      <w:start w:val="1"/>
      <w:numFmt w:val="decimal"/>
      <w:lvlText w:val="%1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862D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C7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AB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6A6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8F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CE2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A1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6CA7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B823AE"/>
    <w:multiLevelType w:val="hybridMultilevel"/>
    <w:tmpl w:val="F06A97FC"/>
    <w:lvl w:ilvl="0" w:tplc="348AEC34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4DF8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A14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A265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EFF8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E724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8AC4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2998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1CEDC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0A"/>
    <w:rsid w:val="00037336"/>
    <w:rsid w:val="000F5E9F"/>
    <w:rsid w:val="0012010A"/>
    <w:rsid w:val="002A2D1A"/>
    <w:rsid w:val="002B7A1D"/>
    <w:rsid w:val="004370ED"/>
    <w:rsid w:val="00497599"/>
    <w:rsid w:val="005C69FA"/>
    <w:rsid w:val="005D7DF5"/>
    <w:rsid w:val="006474E2"/>
    <w:rsid w:val="00661CC1"/>
    <w:rsid w:val="008A6507"/>
    <w:rsid w:val="00936FB9"/>
    <w:rsid w:val="00AD0F50"/>
    <w:rsid w:val="00AD3838"/>
    <w:rsid w:val="00B3519C"/>
    <w:rsid w:val="00BD331D"/>
    <w:rsid w:val="00C17E34"/>
    <w:rsid w:val="00C30C75"/>
    <w:rsid w:val="00D4721B"/>
    <w:rsid w:val="00E211FC"/>
    <w:rsid w:val="00F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3C9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103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0" w:right="103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/>
      <w:ind w:left="10" w:right="103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hanging="10"/>
      <w:outlineLvl w:val="4"/>
    </w:pPr>
    <w:rPr>
      <w:rFonts w:ascii="Arial" w:eastAsia="Arial" w:hAnsi="Arial" w:cs="Arial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1"/>
      <w:ind w:left="10" w:right="103" w:hanging="10"/>
      <w:outlineLvl w:val="5"/>
    </w:pPr>
    <w:rPr>
      <w:rFonts w:ascii="Arial" w:eastAsia="Arial" w:hAnsi="Arial" w:cs="Arial"/>
      <w:b/>
      <w:color w:val="000000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1"/>
      <w:ind w:left="10" w:right="103" w:hanging="10"/>
      <w:outlineLvl w:val="6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4"/>
    </w:rPr>
  </w:style>
  <w:style w:type="character" w:customStyle="1" w:styleId="Heading7Char">
    <w:name w:val="Heading 7 Char"/>
    <w:link w:val="Heading7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4"/>
    </w:rPr>
  </w:style>
  <w:style w:type="paragraph" w:styleId="TOC1">
    <w:name w:val="toc 1"/>
    <w:hidden/>
    <w:pPr>
      <w:spacing w:line="248" w:lineRule="auto"/>
      <w:ind w:left="25" w:right="112" w:hanging="10"/>
      <w:jc w:val="both"/>
    </w:pPr>
    <w:rPr>
      <w:rFonts w:ascii="Arial" w:eastAsia="Arial" w:hAnsi="Arial" w:cs="Arial"/>
      <w:color w:val="000000"/>
    </w:rPr>
  </w:style>
  <w:style w:type="paragraph" w:styleId="TOC2">
    <w:name w:val="toc 2"/>
    <w:hidden/>
    <w:pPr>
      <w:spacing w:after="113" w:line="248" w:lineRule="auto"/>
      <w:ind w:left="592" w:right="112" w:hanging="10"/>
      <w:jc w:val="both"/>
    </w:pPr>
    <w:rPr>
      <w:rFonts w:ascii="Arial" w:eastAsia="Arial" w:hAnsi="Arial" w:cs="Arial"/>
      <w:color w:val="000000"/>
    </w:rPr>
  </w:style>
  <w:style w:type="paragraph" w:styleId="TOC3">
    <w:name w:val="toc 3"/>
    <w:hidden/>
    <w:pPr>
      <w:spacing w:after="111" w:line="248" w:lineRule="auto"/>
      <w:ind w:left="1158" w:right="112" w:hanging="10"/>
      <w:jc w:val="both"/>
    </w:pPr>
    <w:rPr>
      <w:rFonts w:ascii="Arial" w:eastAsia="Arial" w:hAnsi="Arial" w:cs="Arial"/>
      <w:color w:val="000000"/>
    </w:rPr>
  </w:style>
  <w:style w:type="paragraph" w:styleId="TOC4">
    <w:name w:val="toc 4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9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2Text">
    <w:name w:val="02 Text"/>
    <w:rsid w:val="00497599"/>
    <w:rPr>
      <w:i/>
      <w:iCs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38"/>
    <w:rPr>
      <w:rFonts w:ascii="Tahoma" w:eastAsia="Arial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A1D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A1D"/>
    <w:rPr>
      <w:rFonts w:ascii="Arial" w:eastAsia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103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0" w:right="103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/>
      <w:ind w:left="10" w:right="103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Arial" w:eastAsia="Arial" w:hAnsi="Arial" w:cs="Arial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hanging="10"/>
      <w:outlineLvl w:val="4"/>
    </w:pPr>
    <w:rPr>
      <w:rFonts w:ascii="Arial" w:eastAsia="Arial" w:hAnsi="Arial" w:cs="Arial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1"/>
      <w:ind w:left="10" w:right="103" w:hanging="10"/>
      <w:outlineLvl w:val="5"/>
    </w:pPr>
    <w:rPr>
      <w:rFonts w:ascii="Arial" w:eastAsia="Arial" w:hAnsi="Arial" w:cs="Arial"/>
      <w:b/>
      <w:color w:val="000000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1"/>
      <w:ind w:left="10" w:right="103" w:hanging="10"/>
      <w:outlineLvl w:val="6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4"/>
    </w:rPr>
  </w:style>
  <w:style w:type="character" w:customStyle="1" w:styleId="Heading7Char">
    <w:name w:val="Heading 7 Char"/>
    <w:link w:val="Heading7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4"/>
    </w:rPr>
  </w:style>
  <w:style w:type="paragraph" w:styleId="TOC1">
    <w:name w:val="toc 1"/>
    <w:hidden/>
    <w:pPr>
      <w:spacing w:line="248" w:lineRule="auto"/>
      <w:ind w:left="25" w:right="112" w:hanging="10"/>
      <w:jc w:val="both"/>
    </w:pPr>
    <w:rPr>
      <w:rFonts w:ascii="Arial" w:eastAsia="Arial" w:hAnsi="Arial" w:cs="Arial"/>
      <w:color w:val="000000"/>
    </w:rPr>
  </w:style>
  <w:style w:type="paragraph" w:styleId="TOC2">
    <w:name w:val="toc 2"/>
    <w:hidden/>
    <w:pPr>
      <w:spacing w:after="113" w:line="248" w:lineRule="auto"/>
      <w:ind w:left="592" w:right="112" w:hanging="10"/>
      <w:jc w:val="both"/>
    </w:pPr>
    <w:rPr>
      <w:rFonts w:ascii="Arial" w:eastAsia="Arial" w:hAnsi="Arial" w:cs="Arial"/>
      <w:color w:val="000000"/>
    </w:rPr>
  </w:style>
  <w:style w:type="paragraph" w:styleId="TOC3">
    <w:name w:val="toc 3"/>
    <w:hidden/>
    <w:pPr>
      <w:spacing w:after="111" w:line="248" w:lineRule="auto"/>
      <w:ind w:left="1158" w:right="112" w:hanging="10"/>
      <w:jc w:val="both"/>
    </w:pPr>
    <w:rPr>
      <w:rFonts w:ascii="Arial" w:eastAsia="Arial" w:hAnsi="Arial" w:cs="Arial"/>
      <w:color w:val="000000"/>
    </w:rPr>
  </w:style>
  <w:style w:type="paragraph" w:styleId="TOC4">
    <w:name w:val="toc 4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9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2Text">
    <w:name w:val="02 Text"/>
    <w:rsid w:val="00497599"/>
    <w:rPr>
      <w:i/>
      <w:iCs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38"/>
    <w:rPr>
      <w:rFonts w:ascii="Tahoma" w:eastAsia="Arial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A1D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A1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807</Words>
  <Characters>4605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JIW Sept 06</vt:lpstr>
    </vt:vector>
  </TitlesOfParts>
  <Company>Leeds Teaching Hospitals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JIW Sept 06</dc:title>
  <dc:creator>hubscher</dc:creator>
  <cp:lastModifiedBy>Stacy</cp:lastModifiedBy>
  <cp:revision>5</cp:revision>
  <cp:lastPrinted>2017-10-02T08:44:00Z</cp:lastPrinted>
  <dcterms:created xsi:type="dcterms:W3CDTF">2017-10-18T07:56:00Z</dcterms:created>
  <dcterms:modified xsi:type="dcterms:W3CDTF">2017-10-18T08:06:00Z</dcterms:modified>
</cp:coreProperties>
</file>